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11E" w:rsidRPr="005E0CEA" w:rsidRDefault="005E0CEA" w:rsidP="005E0CEA">
      <w:pPr>
        <w:spacing w:after="120"/>
        <w:jc w:val="center"/>
        <w:rPr>
          <w:rFonts w:ascii="Arial" w:eastAsia="Times New Roman" w:hAnsi="Arial" w:cs="Arial"/>
          <w:b/>
          <w:color w:val="0070C0"/>
          <w:sz w:val="28"/>
          <w:szCs w:val="28"/>
          <w:lang w:eastAsia="cs-CZ"/>
        </w:rPr>
      </w:pPr>
      <w:r>
        <w:rPr>
          <w:rFonts w:ascii="Arial" w:eastAsia="Times New Roman" w:hAnsi="Arial" w:cs="Arial"/>
          <w:b/>
          <w:color w:val="0070C0"/>
          <w:sz w:val="28"/>
          <w:szCs w:val="28"/>
          <w:lang w:eastAsia="cs-CZ"/>
        </w:rPr>
        <w:t>Hodnocení VO v roce 2015 a 2016</w:t>
      </w:r>
    </w:p>
    <w:p w:rsidR="005E0CEA" w:rsidRPr="000C31F4" w:rsidRDefault="005E0CEA" w:rsidP="0068711E">
      <w:pPr>
        <w:spacing w:after="120"/>
        <w:jc w:val="both"/>
        <w:rPr>
          <w:rFonts w:ascii="Arial" w:eastAsia="Times New Roman" w:hAnsi="Arial" w:cs="Arial"/>
          <w:b/>
          <w:sz w:val="24"/>
          <w:szCs w:val="24"/>
          <w:lang w:eastAsia="cs-CZ"/>
        </w:rPr>
      </w:pPr>
      <w:r w:rsidRPr="000C31F4">
        <w:rPr>
          <w:rFonts w:ascii="Arial" w:eastAsia="Times New Roman" w:hAnsi="Arial" w:cs="Arial"/>
          <w:b/>
          <w:sz w:val="24"/>
          <w:szCs w:val="24"/>
          <w:lang w:eastAsia="cs-CZ"/>
        </w:rPr>
        <w:t>Průběh hodnocení 2015</w:t>
      </w:r>
    </w:p>
    <w:p w:rsidR="005E0CEA" w:rsidRDefault="005E0CEA" w:rsidP="0068711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 xml:space="preserve">Probíhá sběr údajů pro pilíř II v aplikaci SKV. Na základě požadavků některých výzkumných organizací byl po dohodě s firmou </w:t>
      </w:r>
      <w:proofErr w:type="spellStart"/>
      <w:r>
        <w:rPr>
          <w:rFonts w:ascii="Arial" w:eastAsia="Times New Roman" w:hAnsi="Arial" w:cs="Arial"/>
          <w:sz w:val="24"/>
          <w:szCs w:val="24"/>
          <w:lang w:eastAsia="cs-CZ"/>
        </w:rPr>
        <w:t>Fractal</w:t>
      </w:r>
      <w:proofErr w:type="spellEnd"/>
      <w:r>
        <w:rPr>
          <w:rFonts w:ascii="Arial" w:eastAsia="Times New Roman" w:hAnsi="Arial" w:cs="Arial"/>
          <w:sz w:val="24"/>
          <w:szCs w:val="24"/>
          <w:lang w:eastAsia="cs-CZ"/>
        </w:rPr>
        <w:t xml:space="preserve"> zvětšen prostor pro ukládání příloh, takže je umožněno ukládat i velké objemy dat. Pokud by se objevil výsledek, který svojí velikostí přesahuje</w:t>
      </w:r>
      <w:r w:rsidR="007F613F">
        <w:rPr>
          <w:rFonts w:ascii="Arial" w:eastAsia="Times New Roman" w:hAnsi="Arial" w:cs="Arial"/>
          <w:sz w:val="24"/>
          <w:szCs w:val="24"/>
          <w:lang w:eastAsia="cs-CZ"/>
        </w:rPr>
        <w:t xml:space="preserve"> navýšenou kapacitu, je třeba vč</w:t>
      </w:r>
      <w:r w:rsidR="00235233">
        <w:rPr>
          <w:rFonts w:ascii="Arial" w:eastAsia="Times New Roman" w:hAnsi="Arial" w:cs="Arial"/>
          <w:sz w:val="24"/>
          <w:szCs w:val="24"/>
          <w:lang w:eastAsia="cs-CZ"/>
        </w:rPr>
        <w:t>as informovat I</w:t>
      </w:r>
      <w:r>
        <w:rPr>
          <w:rFonts w:ascii="Arial" w:eastAsia="Times New Roman" w:hAnsi="Arial" w:cs="Arial"/>
          <w:sz w:val="24"/>
          <w:szCs w:val="24"/>
          <w:lang w:eastAsia="cs-CZ"/>
        </w:rPr>
        <w:t>ng.</w:t>
      </w:r>
      <w:r w:rsidR="0073464B">
        <w:rPr>
          <w:rFonts w:ascii="Arial" w:eastAsia="Times New Roman" w:hAnsi="Arial" w:cs="Arial"/>
          <w:sz w:val="24"/>
          <w:szCs w:val="24"/>
          <w:lang w:eastAsia="cs-CZ"/>
        </w:rPr>
        <w:t> </w:t>
      </w:r>
      <w:r>
        <w:rPr>
          <w:rFonts w:ascii="Arial" w:eastAsia="Times New Roman" w:hAnsi="Arial" w:cs="Arial"/>
          <w:sz w:val="24"/>
          <w:szCs w:val="24"/>
          <w:lang w:eastAsia="cs-CZ"/>
        </w:rPr>
        <w:t xml:space="preserve">Rychtaříka nebo </w:t>
      </w:r>
      <w:r w:rsidR="00235233">
        <w:rPr>
          <w:rFonts w:ascii="Arial" w:eastAsia="Times New Roman" w:hAnsi="Arial" w:cs="Arial"/>
          <w:sz w:val="24"/>
          <w:szCs w:val="24"/>
          <w:lang w:eastAsia="cs-CZ"/>
        </w:rPr>
        <w:t>d</w:t>
      </w:r>
      <w:bookmarkStart w:id="0" w:name="_GoBack"/>
      <w:bookmarkEnd w:id="0"/>
      <w:r>
        <w:rPr>
          <w:rFonts w:ascii="Arial" w:eastAsia="Times New Roman" w:hAnsi="Arial" w:cs="Arial"/>
          <w:sz w:val="24"/>
          <w:szCs w:val="24"/>
          <w:lang w:eastAsia="cs-CZ"/>
        </w:rPr>
        <w:t>r. Novákovou.</w:t>
      </w:r>
    </w:p>
    <w:p w:rsidR="000C31F4" w:rsidRDefault="000C31F4" w:rsidP="0068711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Byl upraven seznam členů OVHP a všichni členové, kteří z jakéhokoliv důvodu rezignovali, byli z funkčního seznamu odstraněni (na seznamu zůstávají, jsou barevně odlišeni a nelze jim přidělovat žádné podklady pro hodnocení. Noví členové mohou být do seznamu doplněni až po schválení Radou. Podrobnosti – viz samostatný bod jednání Rady 314/A11.</w:t>
      </w:r>
    </w:p>
    <w:p w:rsidR="00C22D70" w:rsidRDefault="00C22D70" w:rsidP="0068711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Předsedové největších panelů OVHP 01 až 03 požádali o prodloužení hodnocení do</w:t>
      </w:r>
      <w:r w:rsidR="007F613F">
        <w:rPr>
          <w:rFonts w:ascii="Arial" w:eastAsia="Times New Roman" w:hAnsi="Arial" w:cs="Arial"/>
          <w:sz w:val="24"/>
          <w:szCs w:val="24"/>
          <w:lang w:eastAsia="cs-CZ"/>
        </w:rPr>
        <w:t> </w:t>
      </w:r>
      <w:r>
        <w:rPr>
          <w:rFonts w:ascii="Arial" w:eastAsia="Times New Roman" w:hAnsi="Arial" w:cs="Arial"/>
          <w:sz w:val="24"/>
          <w:szCs w:val="24"/>
          <w:lang w:eastAsia="cs-CZ"/>
        </w:rPr>
        <w:t xml:space="preserve">konce května 2016. Na základě </w:t>
      </w:r>
      <w:r w:rsidR="00D906EB">
        <w:rPr>
          <w:rFonts w:ascii="Arial" w:eastAsia="Times New Roman" w:hAnsi="Arial" w:cs="Arial"/>
          <w:sz w:val="24"/>
          <w:szCs w:val="24"/>
          <w:lang w:eastAsia="cs-CZ"/>
        </w:rPr>
        <w:t xml:space="preserve">předchozích </w:t>
      </w:r>
      <w:r>
        <w:rPr>
          <w:rFonts w:ascii="Arial" w:eastAsia="Times New Roman" w:hAnsi="Arial" w:cs="Arial"/>
          <w:sz w:val="24"/>
          <w:szCs w:val="24"/>
          <w:lang w:eastAsia="cs-CZ"/>
        </w:rPr>
        <w:t xml:space="preserve">jednání s Národní knihovnou se podařilo dosáhnout prodloužení do 10. 5. 2016, což ale předsedové panelů (maily 23. 3.) považují za nedostatečné vzhledem k objemu práce, která má být vykonána, a vzhledem k dalším povinnostem členů panelů. </w:t>
      </w:r>
    </w:p>
    <w:p w:rsidR="00D906EB" w:rsidRDefault="00D906EB" w:rsidP="0068711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 xml:space="preserve">Ředitelka Odboru služeb Národní knihovny PhDr. et Mgr. Jana </w:t>
      </w:r>
      <w:proofErr w:type="spellStart"/>
      <w:r>
        <w:rPr>
          <w:rFonts w:ascii="Arial" w:eastAsia="Times New Roman" w:hAnsi="Arial" w:cs="Arial"/>
          <w:sz w:val="24"/>
          <w:szCs w:val="24"/>
          <w:lang w:eastAsia="cs-CZ"/>
        </w:rPr>
        <w:t>Huňová</w:t>
      </w:r>
      <w:proofErr w:type="spellEnd"/>
      <w:r>
        <w:rPr>
          <w:rFonts w:ascii="Arial" w:eastAsia="Times New Roman" w:hAnsi="Arial" w:cs="Arial"/>
          <w:sz w:val="24"/>
          <w:szCs w:val="24"/>
          <w:lang w:eastAsia="cs-CZ"/>
        </w:rPr>
        <w:t xml:space="preserve"> k posunu termínu ukončení hodnocení již dříve (11. 3. 2016) sdělila, že „konec května je z pohledu Národní knihovny problematický, neboť v jarních měsících březen až květe, což se kryje s podstatnou částí letního semestru, chodí do studoven nejvíce uživatelů. Dále </w:t>
      </w:r>
      <w:proofErr w:type="gramStart"/>
      <w:r>
        <w:rPr>
          <w:rFonts w:ascii="Arial" w:eastAsia="Times New Roman" w:hAnsi="Arial" w:cs="Arial"/>
          <w:sz w:val="24"/>
          <w:szCs w:val="24"/>
          <w:lang w:eastAsia="cs-CZ"/>
        </w:rPr>
        <w:t>je</w:t>
      </w:r>
      <w:proofErr w:type="gramEnd"/>
      <w:r>
        <w:rPr>
          <w:rFonts w:ascii="Arial" w:eastAsia="Times New Roman" w:hAnsi="Arial" w:cs="Arial"/>
          <w:sz w:val="24"/>
          <w:szCs w:val="24"/>
          <w:lang w:eastAsia="cs-CZ"/>
        </w:rPr>
        <w:t xml:space="preserve"> problém s úložným prostorem pro běžně objednané dokumenty hodnocené publikace vážou velkou část úložné kapacity studoven. Na vyžádání jednotlivých hodnotitelů může Národní knihovna nechat kontrolované svazky ve studovnách nejdéle do 10. 5. 2016 a to však v případě jednotlivých svazků.“.</w:t>
      </w:r>
      <w:r w:rsidRPr="00D906EB">
        <w:rPr>
          <w:rFonts w:ascii="Arial" w:eastAsia="Times New Roman" w:hAnsi="Arial" w:cs="Arial"/>
          <w:sz w:val="24"/>
          <w:szCs w:val="24"/>
          <w:lang w:eastAsia="cs-CZ"/>
        </w:rPr>
        <w:t xml:space="preserve"> </w:t>
      </w:r>
    </w:p>
    <w:p w:rsidR="00D906EB" w:rsidRDefault="00D906EB" w:rsidP="0068711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O dalším prodloužení se bude s Národní knihovnou znovu jednat, ale nelze odhadnout její reakci. Lze však předpokládat, že v případě kladné odpovědi bude Národní knihovna striktně požadovat, aby se již zhodnocené knihy vrátily co nejdříve do oběhu (= mohly být půjčovány).</w:t>
      </w:r>
    </w:p>
    <w:p w:rsidR="00C22D70" w:rsidRPr="00C22D70" w:rsidRDefault="00C22D70" w:rsidP="0068711E">
      <w:pPr>
        <w:spacing w:after="120"/>
        <w:jc w:val="both"/>
        <w:rPr>
          <w:rFonts w:ascii="Arial" w:eastAsia="Times New Roman" w:hAnsi="Arial" w:cs="Arial"/>
          <w:b/>
          <w:sz w:val="24"/>
          <w:szCs w:val="24"/>
          <w:lang w:eastAsia="cs-CZ"/>
        </w:rPr>
      </w:pPr>
      <w:r w:rsidRPr="00C22D70">
        <w:rPr>
          <w:rFonts w:ascii="Arial" w:eastAsia="Times New Roman" w:hAnsi="Arial" w:cs="Arial"/>
          <w:b/>
          <w:sz w:val="24"/>
          <w:szCs w:val="24"/>
          <w:lang w:eastAsia="cs-CZ"/>
        </w:rPr>
        <w:t>Harmonogram</w:t>
      </w:r>
    </w:p>
    <w:p w:rsidR="00C22D70" w:rsidRDefault="00786025" w:rsidP="0068711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Na základě aktuálního stavu byl upraven harmonogram hodnocení 2015 a 2016 s vyznačením návazností obou hodnocení. Harmonogram se předkládá Radě na</w:t>
      </w:r>
      <w:r w:rsidR="0073464B">
        <w:rPr>
          <w:rFonts w:ascii="Arial" w:eastAsia="Times New Roman" w:hAnsi="Arial" w:cs="Arial"/>
          <w:sz w:val="24"/>
          <w:szCs w:val="24"/>
          <w:lang w:eastAsia="cs-CZ"/>
        </w:rPr>
        <w:t> </w:t>
      </w:r>
      <w:r>
        <w:rPr>
          <w:rFonts w:ascii="Arial" w:eastAsia="Times New Roman" w:hAnsi="Arial" w:cs="Arial"/>
          <w:sz w:val="24"/>
          <w:szCs w:val="24"/>
          <w:lang w:eastAsia="cs-CZ"/>
        </w:rPr>
        <w:t>vědomí.</w:t>
      </w:r>
    </w:p>
    <w:p w:rsidR="00D906EB" w:rsidRDefault="00D906EB" w:rsidP="0068711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Harmonogram již předpokládá prodloužení hodnocení prov</w:t>
      </w:r>
      <w:r w:rsidR="00C9135B">
        <w:rPr>
          <w:rFonts w:ascii="Arial" w:eastAsia="Times New Roman" w:hAnsi="Arial" w:cs="Arial"/>
          <w:sz w:val="24"/>
          <w:szCs w:val="24"/>
          <w:lang w:eastAsia="cs-CZ"/>
        </w:rPr>
        <w:t>áděné OVHP do konce května 2016 a úpravy hodnocení 2016.</w:t>
      </w:r>
    </w:p>
    <w:p w:rsidR="0068711E" w:rsidRPr="000C31F4" w:rsidRDefault="005E0CEA" w:rsidP="0068711E">
      <w:pPr>
        <w:spacing w:after="120"/>
        <w:jc w:val="both"/>
        <w:rPr>
          <w:rFonts w:ascii="Arial" w:eastAsia="Times New Roman" w:hAnsi="Arial" w:cs="Arial"/>
          <w:b/>
          <w:sz w:val="24"/>
          <w:szCs w:val="24"/>
          <w:lang w:eastAsia="cs-CZ"/>
        </w:rPr>
      </w:pPr>
      <w:r w:rsidRPr="000C31F4">
        <w:rPr>
          <w:rFonts w:ascii="Arial" w:eastAsia="Times New Roman" w:hAnsi="Arial" w:cs="Arial"/>
          <w:b/>
          <w:sz w:val="24"/>
          <w:szCs w:val="24"/>
          <w:lang w:eastAsia="cs-CZ"/>
        </w:rPr>
        <w:t>Návrh odměňování členů panelů</w:t>
      </w:r>
    </w:p>
    <w:p w:rsidR="001B1193" w:rsidRDefault="00C22D70" w:rsidP="0068711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 xml:space="preserve">Odměňování členů panelů </w:t>
      </w:r>
      <w:r w:rsidR="00786025">
        <w:rPr>
          <w:rFonts w:ascii="Arial" w:eastAsia="Times New Roman" w:hAnsi="Arial" w:cs="Arial"/>
          <w:sz w:val="24"/>
          <w:szCs w:val="24"/>
          <w:lang w:eastAsia="cs-CZ"/>
        </w:rPr>
        <w:t xml:space="preserve">bude provedeno podle § </w:t>
      </w:r>
      <w:r w:rsidR="001B1193">
        <w:rPr>
          <w:rFonts w:ascii="Arial" w:eastAsia="Times New Roman" w:hAnsi="Arial" w:cs="Arial"/>
          <w:sz w:val="24"/>
          <w:szCs w:val="24"/>
          <w:lang w:eastAsia="cs-CZ"/>
        </w:rPr>
        <w:t xml:space="preserve">35 odst. </w:t>
      </w:r>
      <w:r w:rsidR="00786025">
        <w:rPr>
          <w:rFonts w:ascii="Arial" w:eastAsia="Times New Roman" w:hAnsi="Arial" w:cs="Arial"/>
          <w:sz w:val="24"/>
          <w:szCs w:val="24"/>
          <w:lang w:eastAsia="cs-CZ"/>
        </w:rPr>
        <w:t>7 a</w:t>
      </w:r>
      <w:r w:rsidR="001B1193">
        <w:rPr>
          <w:rFonts w:ascii="Arial" w:eastAsia="Times New Roman" w:hAnsi="Arial" w:cs="Arial"/>
          <w:sz w:val="24"/>
          <w:szCs w:val="24"/>
          <w:lang w:eastAsia="cs-CZ"/>
        </w:rPr>
        <w:t>ž</w:t>
      </w:r>
      <w:r w:rsidR="00786025">
        <w:rPr>
          <w:rFonts w:ascii="Arial" w:eastAsia="Times New Roman" w:hAnsi="Arial" w:cs="Arial"/>
          <w:sz w:val="24"/>
          <w:szCs w:val="24"/>
          <w:lang w:eastAsia="cs-CZ"/>
        </w:rPr>
        <w:t xml:space="preserve"> </w:t>
      </w:r>
      <w:r w:rsidR="001B1193">
        <w:rPr>
          <w:rFonts w:ascii="Arial" w:eastAsia="Times New Roman" w:hAnsi="Arial" w:cs="Arial"/>
          <w:sz w:val="24"/>
          <w:szCs w:val="24"/>
          <w:lang w:eastAsia="cs-CZ"/>
        </w:rPr>
        <w:t>9</w:t>
      </w:r>
      <w:r w:rsidR="00786025">
        <w:rPr>
          <w:rFonts w:ascii="Arial" w:eastAsia="Times New Roman" w:hAnsi="Arial" w:cs="Arial"/>
          <w:sz w:val="24"/>
          <w:szCs w:val="24"/>
          <w:lang w:eastAsia="cs-CZ"/>
        </w:rPr>
        <w:t xml:space="preserve"> zákona č.</w:t>
      </w:r>
      <w:r w:rsidR="001B1193">
        <w:rPr>
          <w:rFonts w:ascii="Arial" w:eastAsia="Times New Roman" w:hAnsi="Arial" w:cs="Arial"/>
          <w:sz w:val="24"/>
          <w:szCs w:val="24"/>
          <w:lang w:eastAsia="cs-CZ"/>
        </w:rPr>
        <w:t> </w:t>
      </w:r>
      <w:r w:rsidR="00786025">
        <w:rPr>
          <w:rFonts w:ascii="Arial" w:eastAsia="Times New Roman" w:hAnsi="Arial" w:cs="Arial"/>
          <w:sz w:val="24"/>
          <w:szCs w:val="24"/>
          <w:lang w:eastAsia="cs-CZ"/>
        </w:rPr>
        <w:t>130/2002 Sb., ve znění pozdějších předpisů.</w:t>
      </w:r>
      <w:r>
        <w:rPr>
          <w:rFonts w:ascii="Arial" w:eastAsia="Times New Roman" w:hAnsi="Arial" w:cs="Arial"/>
          <w:sz w:val="24"/>
          <w:szCs w:val="24"/>
          <w:lang w:eastAsia="cs-CZ"/>
        </w:rPr>
        <w:t xml:space="preserve"> </w:t>
      </w:r>
    </w:p>
    <w:p w:rsidR="000C31F4" w:rsidRDefault="00786025" w:rsidP="0068711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lastRenderedPageBreak/>
        <w:t xml:space="preserve">Výše odměny pro jednotlivé panely bude zohledňovat počet zhodnocených výsledků. Odměny jednotlivým členům panelů /místopředsedům / předsedům </w:t>
      </w:r>
      <w:proofErr w:type="spellStart"/>
      <w:r>
        <w:rPr>
          <w:rFonts w:ascii="Arial" w:eastAsia="Times New Roman" w:hAnsi="Arial" w:cs="Arial"/>
          <w:sz w:val="24"/>
          <w:szCs w:val="24"/>
          <w:lang w:eastAsia="cs-CZ"/>
        </w:rPr>
        <w:t>subpanelů</w:t>
      </w:r>
      <w:proofErr w:type="spellEnd"/>
      <w:r>
        <w:rPr>
          <w:rFonts w:ascii="Arial" w:eastAsia="Times New Roman" w:hAnsi="Arial" w:cs="Arial"/>
          <w:sz w:val="24"/>
          <w:szCs w:val="24"/>
          <w:lang w:eastAsia="cs-CZ"/>
        </w:rPr>
        <w:t xml:space="preserve"> navrhne </w:t>
      </w:r>
      <w:r w:rsidR="001B1193">
        <w:rPr>
          <w:rFonts w:ascii="Arial" w:eastAsia="Times New Roman" w:hAnsi="Arial" w:cs="Arial"/>
          <w:sz w:val="24"/>
          <w:szCs w:val="24"/>
          <w:lang w:eastAsia="cs-CZ"/>
        </w:rPr>
        <w:t xml:space="preserve">předsedovi Rady </w:t>
      </w:r>
      <w:r>
        <w:rPr>
          <w:rFonts w:ascii="Arial" w:eastAsia="Times New Roman" w:hAnsi="Arial" w:cs="Arial"/>
          <w:sz w:val="24"/>
          <w:szCs w:val="24"/>
          <w:lang w:eastAsia="cs-CZ"/>
        </w:rPr>
        <w:t>příslušný předseda</w:t>
      </w:r>
      <w:r w:rsidR="001B1193">
        <w:rPr>
          <w:rFonts w:ascii="Arial" w:eastAsia="Times New Roman" w:hAnsi="Arial" w:cs="Arial"/>
          <w:sz w:val="24"/>
          <w:szCs w:val="24"/>
          <w:lang w:eastAsia="cs-CZ"/>
        </w:rPr>
        <w:t xml:space="preserve"> panelu</w:t>
      </w:r>
      <w:r>
        <w:rPr>
          <w:rFonts w:ascii="Arial" w:eastAsia="Times New Roman" w:hAnsi="Arial" w:cs="Arial"/>
          <w:sz w:val="24"/>
          <w:szCs w:val="24"/>
          <w:lang w:eastAsia="cs-CZ"/>
        </w:rPr>
        <w:t>.</w:t>
      </w:r>
    </w:p>
    <w:p w:rsidR="00C9135B" w:rsidRDefault="00C9135B" w:rsidP="0073464B">
      <w:pPr>
        <w:spacing w:after="240"/>
        <w:jc w:val="both"/>
        <w:rPr>
          <w:rFonts w:ascii="Arial" w:eastAsia="Times New Roman" w:hAnsi="Arial" w:cs="Arial"/>
          <w:sz w:val="24"/>
          <w:szCs w:val="24"/>
          <w:lang w:eastAsia="cs-CZ"/>
        </w:rPr>
      </w:pPr>
      <w:r>
        <w:rPr>
          <w:rFonts w:ascii="Arial" w:eastAsia="Times New Roman" w:hAnsi="Arial" w:cs="Arial"/>
          <w:sz w:val="24"/>
          <w:szCs w:val="24"/>
          <w:lang w:eastAsia="cs-CZ"/>
        </w:rPr>
        <w:t xml:space="preserve">Celková výše odměn pro </w:t>
      </w:r>
      <w:r w:rsidR="001B1193">
        <w:rPr>
          <w:rFonts w:ascii="Arial" w:eastAsia="Times New Roman" w:hAnsi="Arial" w:cs="Arial"/>
          <w:sz w:val="24"/>
          <w:szCs w:val="24"/>
          <w:lang w:eastAsia="cs-CZ"/>
        </w:rPr>
        <w:t xml:space="preserve">jedno </w:t>
      </w:r>
      <w:r>
        <w:rPr>
          <w:rFonts w:ascii="Arial" w:eastAsia="Times New Roman" w:hAnsi="Arial" w:cs="Arial"/>
          <w:sz w:val="24"/>
          <w:szCs w:val="24"/>
          <w:lang w:eastAsia="cs-CZ"/>
        </w:rPr>
        <w:t xml:space="preserve">hodnocení se navrhuje ve výši </w:t>
      </w:r>
      <w:r w:rsidR="001B1193">
        <w:rPr>
          <w:rFonts w:ascii="Arial" w:eastAsia="Times New Roman" w:hAnsi="Arial" w:cs="Arial"/>
          <w:sz w:val="24"/>
          <w:szCs w:val="24"/>
          <w:lang w:eastAsia="cs-CZ"/>
        </w:rPr>
        <w:t>cca 14</w:t>
      </w:r>
      <w:r>
        <w:rPr>
          <w:rFonts w:ascii="Arial" w:eastAsia="Times New Roman" w:hAnsi="Arial" w:cs="Arial"/>
          <w:sz w:val="24"/>
          <w:szCs w:val="24"/>
          <w:lang w:eastAsia="cs-CZ"/>
        </w:rPr>
        <w:t xml:space="preserve">,5 mil. </w:t>
      </w:r>
      <w:r w:rsidR="001B1193">
        <w:rPr>
          <w:rFonts w:ascii="Arial" w:eastAsia="Times New Roman" w:hAnsi="Arial" w:cs="Arial"/>
          <w:sz w:val="24"/>
          <w:szCs w:val="24"/>
          <w:lang w:eastAsia="cs-CZ"/>
        </w:rPr>
        <w:t>Kč dle níže uvedené tabulky. Jedná se odhad průměrných hodnot, které budou navrženy vládě předsedou Rady podle výše uvedených principů.</w:t>
      </w:r>
    </w:p>
    <w:tbl>
      <w:tblPr>
        <w:tblStyle w:val="Mkatabulky"/>
        <w:tblW w:w="0" w:type="auto"/>
        <w:tblLook w:val="04A0" w:firstRow="1" w:lastRow="0" w:firstColumn="1" w:lastColumn="0" w:noHBand="0" w:noVBand="1"/>
      </w:tblPr>
      <w:tblGrid>
        <w:gridCol w:w="3070"/>
        <w:gridCol w:w="3071"/>
        <w:gridCol w:w="3071"/>
      </w:tblGrid>
      <w:tr w:rsidR="00C9135B" w:rsidTr="007A3FAC">
        <w:tc>
          <w:tcPr>
            <w:tcW w:w="3070" w:type="dxa"/>
            <w:tcBorders>
              <w:top w:val="single" w:sz="12" w:space="0" w:color="auto"/>
              <w:left w:val="single" w:sz="12" w:space="0" w:color="auto"/>
              <w:bottom w:val="single" w:sz="12" w:space="0" w:color="auto"/>
              <w:right w:val="single" w:sz="6" w:space="0" w:color="auto"/>
            </w:tcBorders>
          </w:tcPr>
          <w:p w:rsidR="00C9135B" w:rsidRPr="007A3FAC" w:rsidRDefault="00C9135B" w:rsidP="007A3FAC">
            <w:pPr>
              <w:spacing w:before="60" w:after="60"/>
              <w:jc w:val="both"/>
              <w:rPr>
                <w:rFonts w:ascii="Arial" w:eastAsia="Times New Roman" w:hAnsi="Arial" w:cs="Arial"/>
                <w:lang w:eastAsia="cs-CZ"/>
              </w:rPr>
            </w:pPr>
            <w:r w:rsidRPr="007A3FAC">
              <w:rPr>
                <w:rFonts w:ascii="Arial" w:eastAsia="Times New Roman" w:hAnsi="Arial" w:cs="Arial"/>
                <w:lang w:eastAsia="cs-CZ"/>
              </w:rPr>
              <w:t>400 členů panelů</w:t>
            </w:r>
          </w:p>
        </w:tc>
        <w:tc>
          <w:tcPr>
            <w:tcW w:w="3071" w:type="dxa"/>
            <w:tcBorders>
              <w:top w:val="single" w:sz="12" w:space="0" w:color="auto"/>
              <w:left w:val="single" w:sz="6" w:space="0" w:color="auto"/>
              <w:bottom w:val="single" w:sz="12" w:space="0" w:color="auto"/>
              <w:right w:val="single" w:sz="6" w:space="0" w:color="auto"/>
            </w:tcBorders>
          </w:tcPr>
          <w:p w:rsidR="00C9135B" w:rsidRPr="007A3FAC" w:rsidRDefault="00C9135B" w:rsidP="007A3FAC">
            <w:pPr>
              <w:spacing w:before="60" w:after="60"/>
              <w:jc w:val="center"/>
              <w:rPr>
                <w:rFonts w:ascii="Arial" w:eastAsia="Times New Roman" w:hAnsi="Arial" w:cs="Arial"/>
                <w:lang w:eastAsia="cs-CZ"/>
              </w:rPr>
            </w:pPr>
            <w:r w:rsidRPr="007A3FAC">
              <w:rPr>
                <w:rFonts w:ascii="Arial" w:eastAsia="Times New Roman" w:hAnsi="Arial" w:cs="Arial"/>
                <w:lang w:eastAsia="cs-CZ"/>
              </w:rPr>
              <w:t>3</w:t>
            </w:r>
            <w:r w:rsidR="001B1193" w:rsidRPr="007A3FAC">
              <w:rPr>
                <w:rFonts w:ascii="Arial" w:eastAsia="Times New Roman" w:hAnsi="Arial" w:cs="Arial"/>
                <w:lang w:eastAsia="cs-CZ"/>
              </w:rPr>
              <w:t>5</w:t>
            </w:r>
            <w:r w:rsidRPr="007A3FAC">
              <w:rPr>
                <w:rFonts w:ascii="Arial" w:eastAsia="Times New Roman" w:hAnsi="Arial" w:cs="Arial"/>
                <w:lang w:eastAsia="cs-CZ"/>
              </w:rPr>
              <w:t xml:space="preserve"> tis. Kč na osobu</w:t>
            </w:r>
          </w:p>
        </w:tc>
        <w:tc>
          <w:tcPr>
            <w:tcW w:w="3071" w:type="dxa"/>
            <w:tcBorders>
              <w:top w:val="single" w:sz="12" w:space="0" w:color="auto"/>
              <w:left w:val="single" w:sz="6" w:space="0" w:color="auto"/>
              <w:bottom w:val="single" w:sz="12" w:space="0" w:color="auto"/>
              <w:right w:val="single" w:sz="12" w:space="0" w:color="auto"/>
            </w:tcBorders>
          </w:tcPr>
          <w:p w:rsidR="00C9135B" w:rsidRPr="007A3FAC" w:rsidRDefault="00C9135B" w:rsidP="007A3FAC">
            <w:pPr>
              <w:spacing w:before="60" w:after="60"/>
              <w:jc w:val="center"/>
              <w:rPr>
                <w:rFonts w:ascii="Arial" w:eastAsia="Times New Roman" w:hAnsi="Arial" w:cs="Arial"/>
                <w:lang w:eastAsia="cs-CZ"/>
              </w:rPr>
            </w:pPr>
            <w:r w:rsidRPr="007A3FAC">
              <w:rPr>
                <w:rFonts w:ascii="Arial" w:eastAsia="Times New Roman" w:hAnsi="Arial" w:cs="Arial"/>
                <w:lang w:eastAsia="cs-CZ"/>
              </w:rPr>
              <w:t>1</w:t>
            </w:r>
            <w:r w:rsidR="001B1193" w:rsidRPr="007A3FAC">
              <w:rPr>
                <w:rFonts w:ascii="Arial" w:eastAsia="Times New Roman" w:hAnsi="Arial" w:cs="Arial"/>
                <w:lang w:eastAsia="cs-CZ"/>
              </w:rPr>
              <w:t>4</w:t>
            </w:r>
            <w:r w:rsidRPr="007A3FAC">
              <w:rPr>
                <w:rFonts w:ascii="Arial" w:eastAsia="Times New Roman" w:hAnsi="Arial" w:cs="Arial"/>
                <w:lang w:eastAsia="cs-CZ"/>
              </w:rPr>
              <w:t> 000 tis. Kč</w:t>
            </w:r>
          </w:p>
        </w:tc>
      </w:tr>
      <w:tr w:rsidR="00C9135B" w:rsidTr="0073464B">
        <w:tc>
          <w:tcPr>
            <w:tcW w:w="3070" w:type="dxa"/>
            <w:tcBorders>
              <w:top w:val="single" w:sz="12" w:space="0" w:color="auto"/>
              <w:left w:val="single" w:sz="12" w:space="0" w:color="auto"/>
            </w:tcBorders>
          </w:tcPr>
          <w:p w:rsidR="00C9135B" w:rsidRPr="007A3FAC" w:rsidRDefault="00C9135B" w:rsidP="007A3FAC">
            <w:pPr>
              <w:spacing w:before="60" w:after="60"/>
              <w:jc w:val="both"/>
              <w:rPr>
                <w:rFonts w:ascii="Arial" w:eastAsia="Times New Roman" w:hAnsi="Arial" w:cs="Arial"/>
                <w:lang w:eastAsia="cs-CZ"/>
              </w:rPr>
            </w:pPr>
            <w:r w:rsidRPr="007A3FAC">
              <w:rPr>
                <w:rFonts w:ascii="Arial" w:eastAsia="Times New Roman" w:hAnsi="Arial" w:cs="Arial"/>
                <w:lang w:eastAsia="cs-CZ"/>
              </w:rPr>
              <w:t>5 místopředsedů panelů a</w:t>
            </w:r>
            <w:r w:rsidR="007A3FAC">
              <w:rPr>
                <w:rFonts w:ascii="Arial" w:eastAsia="Times New Roman" w:hAnsi="Arial" w:cs="Arial"/>
                <w:lang w:eastAsia="cs-CZ"/>
              </w:rPr>
              <w:t> </w:t>
            </w:r>
            <w:r w:rsidRPr="007A3FAC">
              <w:rPr>
                <w:rFonts w:ascii="Arial" w:eastAsia="Times New Roman" w:hAnsi="Arial" w:cs="Arial"/>
                <w:lang w:eastAsia="cs-CZ"/>
              </w:rPr>
              <w:t xml:space="preserve">předsedů </w:t>
            </w:r>
            <w:proofErr w:type="spellStart"/>
            <w:r w:rsidRPr="007A3FAC">
              <w:rPr>
                <w:rFonts w:ascii="Arial" w:eastAsia="Times New Roman" w:hAnsi="Arial" w:cs="Arial"/>
                <w:lang w:eastAsia="cs-CZ"/>
              </w:rPr>
              <w:t>subpanelů</w:t>
            </w:r>
            <w:proofErr w:type="spellEnd"/>
          </w:p>
        </w:tc>
        <w:tc>
          <w:tcPr>
            <w:tcW w:w="3071" w:type="dxa"/>
            <w:tcBorders>
              <w:top w:val="single" w:sz="12" w:space="0" w:color="auto"/>
            </w:tcBorders>
          </w:tcPr>
          <w:p w:rsidR="00C9135B" w:rsidRPr="007A3FAC" w:rsidRDefault="00C9135B" w:rsidP="007A3FAC">
            <w:pPr>
              <w:spacing w:before="60" w:after="60"/>
              <w:jc w:val="center"/>
              <w:rPr>
                <w:rFonts w:ascii="Arial" w:eastAsia="Times New Roman" w:hAnsi="Arial" w:cs="Arial"/>
                <w:lang w:eastAsia="cs-CZ"/>
              </w:rPr>
            </w:pPr>
            <w:r w:rsidRPr="007A3FAC">
              <w:rPr>
                <w:rFonts w:ascii="Arial" w:eastAsia="Times New Roman" w:hAnsi="Arial" w:cs="Arial"/>
                <w:lang w:eastAsia="cs-CZ"/>
              </w:rPr>
              <w:t>+ 10 tis. Kč na osobu</w:t>
            </w:r>
          </w:p>
        </w:tc>
        <w:tc>
          <w:tcPr>
            <w:tcW w:w="3071" w:type="dxa"/>
            <w:tcBorders>
              <w:top w:val="single" w:sz="12" w:space="0" w:color="auto"/>
              <w:right w:val="single" w:sz="12" w:space="0" w:color="auto"/>
            </w:tcBorders>
          </w:tcPr>
          <w:p w:rsidR="00C9135B" w:rsidRPr="007A3FAC" w:rsidRDefault="00C9135B" w:rsidP="007A3FAC">
            <w:pPr>
              <w:spacing w:before="60" w:after="60"/>
              <w:jc w:val="center"/>
              <w:rPr>
                <w:rFonts w:ascii="Arial" w:eastAsia="Times New Roman" w:hAnsi="Arial" w:cs="Arial"/>
                <w:lang w:eastAsia="cs-CZ"/>
              </w:rPr>
            </w:pPr>
            <w:r w:rsidRPr="007A3FAC">
              <w:rPr>
                <w:rFonts w:ascii="Arial" w:eastAsia="Times New Roman" w:hAnsi="Arial" w:cs="Arial"/>
                <w:lang w:eastAsia="cs-CZ"/>
              </w:rPr>
              <w:t>+ 50 tis. Kč</w:t>
            </w:r>
          </w:p>
        </w:tc>
      </w:tr>
      <w:tr w:rsidR="00C9135B" w:rsidTr="0073464B">
        <w:tc>
          <w:tcPr>
            <w:tcW w:w="3070" w:type="dxa"/>
            <w:tcBorders>
              <w:left w:val="single" w:sz="12" w:space="0" w:color="auto"/>
            </w:tcBorders>
          </w:tcPr>
          <w:p w:rsidR="00C9135B" w:rsidRPr="007A3FAC" w:rsidRDefault="00C9135B" w:rsidP="007A3FAC">
            <w:pPr>
              <w:spacing w:before="60" w:after="60"/>
              <w:jc w:val="both"/>
              <w:rPr>
                <w:rFonts w:ascii="Arial" w:eastAsia="Times New Roman" w:hAnsi="Arial" w:cs="Arial"/>
                <w:lang w:eastAsia="cs-CZ"/>
              </w:rPr>
            </w:pPr>
            <w:r w:rsidRPr="007A3FAC">
              <w:rPr>
                <w:rFonts w:ascii="Arial" w:eastAsia="Times New Roman" w:hAnsi="Arial" w:cs="Arial"/>
                <w:lang w:eastAsia="cs-CZ"/>
              </w:rPr>
              <w:t>15 předsedů panelů (bez</w:t>
            </w:r>
            <w:r w:rsidR="007A3FAC">
              <w:rPr>
                <w:rFonts w:ascii="Arial" w:eastAsia="Times New Roman" w:hAnsi="Arial" w:cs="Arial"/>
                <w:lang w:eastAsia="cs-CZ"/>
              </w:rPr>
              <w:t> </w:t>
            </w:r>
            <w:r w:rsidRPr="007A3FAC">
              <w:rPr>
                <w:rFonts w:ascii="Arial" w:eastAsia="Times New Roman" w:hAnsi="Arial" w:cs="Arial"/>
                <w:lang w:eastAsia="cs-CZ"/>
              </w:rPr>
              <w:t>OVHP 1 a 2)</w:t>
            </w:r>
          </w:p>
        </w:tc>
        <w:tc>
          <w:tcPr>
            <w:tcW w:w="3071" w:type="dxa"/>
          </w:tcPr>
          <w:p w:rsidR="00C9135B" w:rsidRPr="007A3FAC" w:rsidRDefault="00C9135B" w:rsidP="007A3FAC">
            <w:pPr>
              <w:spacing w:before="60" w:after="60"/>
              <w:jc w:val="center"/>
              <w:rPr>
                <w:rFonts w:ascii="Arial" w:eastAsia="Times New Roman" w:hAnsi="Arial" w:cs="Arial"/>
                <w:lang w:eastAsia="cs-CZ"/>
              </w:rPr>
            </w:pPr>
            <w:r w:rsidRPr="007A3FAC">
              <w:rPr>
                <w:rFonts w:ascii="Arial" w:eastAsia="Times New Roman" w:hAnsi="Arial" w:cs="Arial"/>
                <w:lang w:eastAsia="cs-CZ"/>
              </w:rPr>
              <w:t>+ 20 tis. Kč</w:t>
            </w:r>
          </w:p>
        </w:tc>
        <w:tc>
          <w:tcPr>
            <w:tcW w:w="3071" w:type="dxa"/>
            <w:tcBorders>
              <w:right w:val="single" w:sz="12" w:space="0" w:color="auto"/>
            </w:tcBorders>
          </w:tcPr>
          <w:p w:rsidR="00C9135B" w:rsidRPr="007A3FAC" w:rsidRDefault="00C9135B" w:rsidP="007A3FAC">
            <w:pPr>
              <w:spacing w:before="60" w:after="60"/>
              <w:jc w:val="center"/>
              <w:rPr>
                <w:rFonts w:ascii="Arial" w:eastAsia="Times New Roman" w:hAnsi="Arial" w:cs="Arial"/>
                <w:lang w:eastAsia="cs-CZ"/>
              </w:rPr>
            </w:pPr>
            <w:r w:rsidRPr="007A3FAC">
              <w:rPr>
                <w:rFonts w:ascii="Arial" w:eastAsia="Times New Roman" w:hAnsi="Arial" w:cs="Arial"/>
                <w:lang w:eastAsia="cs-CZ"/>
              </w:rPr>
              <w:t>+ 300 tis. Kč</w:t>
            </w:r>
          </w:p>
        </w:tc>
      </w:tr>
      <w:tr w:rsidR="00C9135B" w:rsidTr="007A3FAC">
        <w:tc>
          <w:tcPr>
            <w:tcW w:w="3070" w:type="dxa"/>
            <w:tcBorders>
              <w:left w:val="single" w:sz="12" w:space="0" w:color="auto"/>
              <w:bottom w:val="single" w:sz="12" w:space="0" w:color="auto"/>
            </w:tcBorders>
          </w:tcPr>
          <w:p w:rsidR="00C9135B" w:rsidRPr="007A3FAC" w:rsidRDefault="00C9135B" w:rsidP="007A3FAC">
            <w:pPr>
              <w:spacing w:before="60" w:after="60"/>
              <w:jc w:val="both"/>
              <w:rPr>
                <w:rFonts w:ascii="Arial" w:eastAsia="Times New Roman" w:hAnsi="Arial" w:cs="Arial"/>
                <w:lang w:eastAsia="cs-CZ"/>
              </w:rPr>
            </w:pPr>
            <w:r w:rsidRPr="007A3FAC">
              <w:rPr>
                <w:rFonts w:ascii="Arial" w:eastAsia="Times New Roman" w:hAnsi="Arial" w:cs="Arial"/>
                <w:lang w:eastAsia="cs-CZ"/>
              </w:rPr>
              <w:t>2 předsedové panelů (OVHP</w:t>
            </w:r>
            <w:r w:rsidR="007A3FAC">
              <w:rPr>
                <w:rFonts w:ascii="Arial" w:eastAsia="Times New Roman" w:hAnsi="Arial" w:cs="Arial"/>
                <w:lang w:eastAsia="cs-CZ"/>
              </w:rPr>
              <w:t> </w:t>
            </w:r>
            <w:r w:rsidRPr="007A3FAC">
              <w:rPr>
                <w:rFonts w:ascii="Arial" w:eastAsia="Times New Roman" w:hAnsi="Arial" w:cs="Arial"/>
                <w:lang w:eastAsia="cs-CZ"/>
              </w:rPr>
              <w:t>1 a 2)</w:t>
            </w:r>
          </w:p>
        </w:tc>
        <w:tc>
          <w:tcPr>
            <w:tcW w:w="3071" w:type="dxa"/>
            <w:tcBorders>
              <w:bottom w:val="single" w:sz="12" w:space="0" w:color="auto"/>
            </w:tcBorders>
          </w:tcPr>
          <w:p w:rsidR="00C9135B" w:rsidRPr="007A3FAC" w:rsidRDefault="00C9135B" w:rsidP="007A3FAC">
            <w:pPr>
              <w:spacing w:before="60" w:after="60"/>
              <w:jc w:val="center"/>
              <w:rPr>
                <w:rFonts w:ascii="Arial" w:eastAsia="Times New Roman" w:hAnsi="Arial" w:cs="Arial"/>
                <w:lang w:eastAsia="cs-CZ"/>
              </w:rPr>
            </w:pPr>
            <w:r w:rsidRPr="007A3FAC">
              <w:rPr>
                <w:rFonts w:ascii="Arial" w:eastAsia="Times New Roman" w:hAnsi="Arial" w:cs="Arial"/>
                <w:lang w:eastAsia="cs-CZ"/>
              </w:rPr>
              <w:t xml:space="preserve">+ </w:t>
            </w:r>
            <w:r w:rsidR="001B1193" w:rsidRPr="007A3FAC">
              <w:rPr>
                <w:rFonts w:ascii="Arial" w:eastAsia="Times New Roman" w:hAnsi="Arial" w:cs="Arial"/>
                <w:lang w:eastAsia="cs-CZ"/>
              </w:rPr>
              <w:t>4</w:t>
            </w:r>
            <w:r w:rsidRPr="007A3FAC">
              <w:rPr>
                <w:rFonts w:ascii="Arial" w:eastAsia="Times New Roman" w:hAnsi="Arial" w:cs="Arial"/>
                <w:lang w:eastAsia="cs-CZ"/>
              </w:rPr>
              <w:t>0 tis. Kč</w:t>
            </w:r>
          </w:p>
        </w:tc>
        <w:tc>
          <w:tcPr>
            <w:tcW w:w="3071" w:type="dxa"/>
            <w:tcBorders>
              <w:bottom w:val="single" w:sz="12" w:space="0" w:color="auto"/>
              <w:right w:val="single" w:sz="12" w:space="0" w:color="auto"/>
            </w:tcBorders>
          </w:tcPr>
          <w:p w:rsidR="00C9135B" w:rsidRPr="007A3FAC" w:rsidRDefault="00C9135B" w:rsidP="007A3FAC">
            <w:pPr>
              <w:spacing w:before="60" w:after="60"/>
              <w:jc w:val="center"/>
              <w:rPr>
                <w:rFonts w:ascii="Arial" w:eastAsia="Times New Roman" w:hAnsi="Arial" w:cs="Arial"/>
                <w:lang w:eastAsia="cs-CZ"/>
              </w:rPr>
            </w:pPr>
            <w:r w:rsidRPr="007A3FAC">
              <w:rPr>
                <w:rFonts w:ascii="Arial" w:eastAsia="Times New Roman" w:hAnsi="Arial" w:cs="Arial"/>
                <w:lang w:eastAsia="cs-CZ"/>
              </w:rPr>
              <w:t xml:space="preserve">+ </w:t>
            </w:r>
            <w:r w:rsidR="001B1193" w:rsidRPr="007A3FAC">
              <w:rPr>
                <w:rFonts w:ascii="Arial" w:eastAsia="Times New Roman" w:hAnsi="Arial" w:cs="Arial"/>
                <w:lang w:eastAsia="cs-CZ"/>
              </w:rPr>
              <w:t>8</w:t>
            </w:r>
            <w:r w:rsidRPr="007A3FAC">
              <w:rPr>
                <w:rFonts w:ascii="Arial" w:eastAsia="Times New Roman" w:hAnsi="Arial" w:cs="Arial"/>
                <w:lang w:eastAsia="cs-CZ"/>
              </w:rPr>
              <w:t>0 tis. Kč</w:t>
            </w:r>
          </w:p>
        </w:tc>
      </w:tr>
      <w:tr w:rsidR="00C9135B" w:rsidRPr="001B1193" w:rsidTr="007A3FAC">
        <w:tc>
          <w:tcPr>
            <w:tcW w:w="3070" w:type="dxa"/>
            <w:tcBorders>
              <w:top w:val="single" w:sz="12" w:space="0" w:color="auto"/>
              <w:left w:val="single" w:sz="12" w:space="0" w:color="auto"/>
              <w:bottom w:val="single" w:sz="12" w:space="0" w:color="auto"/>
              <w:right w:val="single" w:sz="6" w:space="0" w:color="auto"/>
            </w:tcBorders>
          </w:tcPr>
          <w:p w:rsidR="00C9135B" w:rsidRPr="007A3FAC" w:rsidRDefault="00C9135B" w:rsidP="007A3FAC">
            <w:pPr>
              <w:spacing w:before="60" w:after="60"/>
              <w:jc w:val="both"/>
              <w:rPr>
                <w:rFonts w:ascii="Arial" w:eastAsia="Times New Roman" w:hAnsi="Arial" w:cs="Arial"/>
                <w:b/>
                <w:lang w:eastAsia="cs-CZ"/>
              </w:rPr>
            </w:pPr>
            <w:r w:rsidRPr="007A3FAC">
              <w:rPr>
                <w:rFonts w:ascii="Arial" w:eastAsia="Times New Roman" w:hAnsi="Arial" w:cs="Arial"/>
                <w:b/>
                <w:lang w:eastAsia="cs-CZ"/>
              </w:rPr>
              <w:t>Celkem</w:t>
            </w:r>
          </w:p>
        </w:tc>
        <w:tc>
          <w:tcPr>
            <w:tcW w:w="3071" w:type="dxa"/>
            <w:tcBorders>
              <w:top w:val="single" w:sz="12" w:space="0" w:color="auto"/>
              <w:left w:val="single" w:sz="6" w:space="0" w:color="auto"/>
              <w:bottom w:val="single" w:sz="12" w:space="0" w:color="auto"/>
              <w:right w:val="single" w:sz="6" w:space="0" w:color="auto"/>
            </w:tcBorders>
          </w:tcPr>
          <w:p w:rsidR="00C9135B" w:rsidRPr="007A3FAC" w:rsidRDefault="00C9135B" w:rsidP="007A3FAC">
            <w:pPr>
              <w:spacing w:before="60" w:after="60"/>
              <w:jc w:val="center"/>
              <w:rPr>
                <w:rFonts w:ascii="Arial" w:eastAsia="Times New Roman" w:hAnsi="Arial" w:cs="Arial"/>
                <w:b/>
                <w:lang w:eastAsia="cs-CZ"/>
              </w:rPr>
            </w:pPr>
          </w:p>
        </w:tc>
        <w:tc>
          <w:tcPr>
            <w:tcW w:w="3071" w:type="dxa"/>
            <w:tcBorders>
              <w:top w:val="single" w:sz="12" w:space="0" w:color="auto"/>
              <w:left w:val="single" w:sz="6" w:space="0" w:color="auto"/>
              <w:bottom w:val="single" w:sz="12" w:space="0" w:color="auto"/>
              <w:right w:val="single" w:sz="12" w:space="0" w:color="auto"/>
            </w:tcBorders>
          </w:tcPr>
          <w:p w:rsidR="00C9135B" w:rsidRPr="007A3FAC" w:rsidRDefault="001B1193" w:rsidP="007A3FAC">
            <w:pPr>
              <w:spacing w:before="60" w:after="60"/>
              <w:jc w:val="center"/>
              <w:rPr>
                <w:rFonts w:ascii="Arial" w:eastAsia="Times New Roman" w:hAnsi="Arial" w:cs="Arial"/>
                <w:b/>
                <w:lang w:eastAsia="cs-CZ"/>
              </w:rPr>
            </w:pPr>
            <w:r w:rsidRPr="007A3FAC">
              <w:rPr>
                <w:rFonts w:ascii="Arial" w:eastAsia="Times New Roman" w:hAnsi="Arial" w:cs="Arial"/>
                <w:b/>
                <w:lang w:eastAsia="cs-CZ"/>
              </w:rPr>
              <w:t>14 430 tis. Kč</w:t>
            </w:r>
          </w:p>
        </w:tc>
      </w:tr>
    </w:tbl>
    <w:p w:rsidR="00C9135B" w:rsidRPr="007A3FAC" w:rsidRDefault="00C9135B" w:rsidP="0068711E">
      <w:pPr>
        <w:spacing w:after="120"/>
        <w:jc w:val="both"/>
        <w:rPr>
          <w:rFonts w:ascii="Arial" w:eastAsia="Times New Roman" w:hAnsi="Arial" w:cs="Arial"/>
          <w:sz w:val="16"/>
          <w:szCs w:val="16"/>
          <w:lang w:eastAsia="cs-CZ"/>
        </w:rPr>
      </w:pPr>
    </w:p>
    <w:p w:rsidR="00397C28" w:rsidRDefault="00397C28" w:rsidP="0068711E">
      <w:pPr>
        <w:spacing w:after="120"/>
        <w:jc w:val="both"/>
        <w:rPr>
          <w:rFonts w:ascii="Arial" w:eastAsia="Times New Roman" w:hAnsi="Arial" w:cs="Arial"/>
          <w:sz w:val="24"/>
          <w:szCs w:val="24"/>
          <w:lang w:eastAsia="cs-CZ"/>
        </w:rPr>
      </w:pPr>
      <w:r>
        <w:rPr>
          <w:rFonts w:ascii="Arial" w:eastAsia="Times New Roman" w:hAnsi="Arial" w:cs="Arial"/>
          <w:sz w:val="24"/>
          <w:szCs w:val="24"/>
          <w:lang w:eastAsia="cs-CZ"/>
        </w:rPr>
        <w:t xml:space="preserve">Celková částka, kterou bude nutné vydat na odměnu členů panelů v roce </w:t>
      </w:r>
      <w:r w:rsidR="00953D74">
        <w:rPr>
          <w:rFonts w:ascii="Arial" w:eastAsia="Times New Roman" w:hAnsi="Arial" w:cs="Arial"/>
          <w:sz w:val="24"/>
          <w:szCs w:val="24"/>
          <w:lang w:eastAsia="cs-CZ"/>
        </w:rPr>
        <w:t>2016, tj. </w:t>
      </w:r>
      <w:r>
        <w:rPr>
          <w:rFonts w:ascii="Arial" w:eastAsia="Times New Roman" w:hAnsi="Arial" w:cs="Arial"/>
          <w:sz w:val="24"/>
          <w:szCs w:val="24"/>
          <w:lang w:eastAsia="cs-CZ"/>
        </w:rPr>
        <w:t>celková částka odměn za provedení hodnocení 2015 a 2016, bude činit celkem cca 30 mil. Kč.</w:t>
      </w:r>
    </w:p>
    <w:p w:rsidR="00786025" w:rsidRPr="001B1193" w:rsidRDefault="001B1193" w:rsidP="001B1193">
      <w:pPr>
        <w:spacing w:after="120"/>
        <w:jc w:val="both"/>
        <w:rPr>
          <w:rFonts w:ascii="Arial" w:eastAsia="Times New Roman" w:hAnsi="Arial" w:cs="Arial"/>
          <w:b/>
          <w:sz w:val="24"/>
          <w:szCs w:val="24"/>
          <w:lang w:eastAsia="cs-CZ"/>
        </w:rPr>
      </w:pPr>
      <w:r w:rsidRPr="001B1193">
        <w:rPr>
          <w:rFonts w:ascii="Arial" w:eastAsia="Times New Roman" w:hAnsi="Arial" w:cs="Arial"/>
          <w:b/>
          <w:sz w:val="24"/>
          <w:szCs w:val="24"/>
          <w:lang w:eastAsia="cs-CZ"/>
        </w:rPr>
        <w:t>Počet členů panelů</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0" w:type="dxa"/>
          <w:right w:w="0" w:type="dxa"/>
        </w:tblCellMar>
        <w:tblLook w:val="00A0" w:firstRow="1" w:lastRow="0" w:firstColumn="1" w:lastColumn="0" w:noHBand="0" w:noVBand="0"/>
      </w:tblPr>
      <w:tblGrid>
        <w:gridCol w:w="960"/>
        <w:gridCol w:w="1465"/>
        <w:gridCol w:w="1691"/>
        <w:gridCol w:w="1711"/>
        <w:gridCol w:w="1691"/>
        <w:gridCol w:w="1559"/>
      </w:tblGrid>
      <w:tr w:rsidR="001B1193" w:rsidRPr="001B1193" w:rsidTr="007A3FAC">
        <w:tc>
          <w:tcPr>
            <w:tcW w:w="960" w:type="dxa"/>
            <w:tcBorders>
              <w:top w:val="single" w:sz="12" w:space="0" w:color="auto"/>
              <w:bottom w:val="single" w:sz="12" w:space="0" w:color="auto"/>
            </w:tcBorders>
            <w:shd w:val="clear" w:color="auto" w:fill="FFFFFF" w:themeFill="background1"/>
            <w:vAlign w:val="center"/>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OVHP</w:t>
            </w:r>
          </w:p>
        </w:tc>
        <w:tc>
          <w:tcPr>
            <w:tcW w:w="1465" w:type="dxa"/>
            <w:tcBorders>
              <w:top w:val="single" w:sz="12" w:space="0" w:color="auto"/>
              <w:bottom w:val="single" w:sz="12" w:space="0" w:color="auto"/>
            </w:tcBorders>
            <w:shd w:val="clear" w:color="auto" w:fill="FFFFFF" w:themeFill="background1"/>
            <w:vAlign w:val="center"/>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Předseda</w:t>
            </w:r>
            <w:r w:rsidR="001B1193" w:rsidRPr="007A3FAC">
              <w:rPr>
                <w:rFonts w:ascii="Arial" w:eastAsiaTheme="minorHAnsi" w:hAnsi="Arial" w:cs="Arial"/>
                <w:b/>
                <w:color w:val="000000"/>
                <w:lang w:eastAsia="cs-CZ"/>
              </w:rPr>
              <w:t xml:space="preserve"> panelů</w:t>
            </w:r>
          </w:p>
        </w:tc>
        <w:tc>
          <w:tcPr>
            <w:tcW w:w="1691" w:type="dxa"/>
            <w:tcBorders>
              <w:top w:val="single" w:sz="12" w:space="0" w:color="auto"/>
              <w:bottom w:val="single" w:sz="12" w:space="0" w:color="auto"/>
            </w:tcBorders>
            <w:shd w:val="clear" w:color="auto" w:fill="FFFFFF" w:themeFill="background1"/>
            <w:vAlign w:val="center"/>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Místopřed</w:t>
            </w:r>
            <w:r w:rsidR="001B1193" w:rsidRPr="007A3FAC">
              <w:rPr>
                <w:rFonts w:ascii="Arial" w:eastAsiaTheme="minorHAnsi" w:hAnsi="Arial" w:cs="Arial"/>
                <w:b/>
                <w:color w:val="000000"/>
                <w:lang w:eastAsia="cs-CZ"/>
              </w:rPr>
              <w:t>seda panelu</w:t>
            </w:r>
          </w:p>
        </w:tc>
        <w:tc>
          <w:tcPr>
            <w:tcW w:w="1711" w:type="dxa"/>
            <w:tcBorders>
              <w:top w:val="single" w:sz="12" w:space="0" w:color="auto"/>
              <w:bottom w:val="single" w:sz="12" w:space="0" w:color="auto"/>
            </w:tcBorders>
            <w:shd w:val="clear" w:color="auto" w:fill="FFFFFF" w:themeFill="background1"/>
            <w:vAlign w:val="center"/>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 xml:space="preserve">Předseda </w:t>
            </w:r>
            <w:proofErr w:type="spellStart"/>
            <w:r w:rsidRPr="007A3FAC">
              <w:rPr>
                <w:rFonts w:ascii="Arial" w:eastAsiaTheme="minorHAnsi" w:hAnsi="Arial" w:cs="Arial"/>
                <w:b/>
                <w:color w:val="000000"/>
                <w:lang w:eastAsia="cs-CZ"/>
              </w:rPr>
              <w:t>subpanelu</w:t>
            </w:r>
            <w:proofErr w:type="spellEnd"/>
          </w:p>
        </w:tc>
        <w:tc>
          <w:tcPr>
            <w:tcW w:w="1691" w:type="dxa"/>
            <w:tcBorders>
              <w:top w:val="single" w:sz="12" w:space="0" w:color="auto"/>
              <w:bottom w:val="single" w:sz="12" w:space="0" w:color="auto"/>
            </w:tcBorders>
            <w:shd w:val="clear" w:color="auto" w:fill="FFFFFF" w:themeFill="background1"/>
            <w:vAlign w:val="center"/>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Člen</w:t>
            </w:r>
          </w:p>
        </w:tc>
        <w:tc>
          <w:tcPr>
            <w:tcW w:w="1559" w:type="dxa"/>
            <w:tcBorders>
              <w:top w:val="single" w:sz="12" w:space="0" w:color="auto"/>
              <w:bottom w:val="single" w:sz="12" w:space="0" w:color="auto"/>
            </w:tcBorders>
            <w:shd w:val="clear" w:color="auto" w:fill="FFFFFF" w:themeFill="background1"/>
            <w:vAlign w:val="center"/>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Celkem</w:t>
            </w:r>
          </w:p>
        </w:tc>
      </w:tr>
      <w:tr w:rsidR="001B1193" w:rsidTr="007A3FAC">
        <w:tc>
          <w:tcPr>
            <w:tcW w:w="960" w:type="dxa"/>
            <w:tcBorders>
              <w:top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1SHVa</w:t>
            </w:r>
          </w:p>
        </w:tc>
        <w:tc>
          <w:tcPr>
            <w:tcW w:w="1465" w:type="dxa"/>
            <w:tcBorders>
              <w:top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tcBorders>
              <w:top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tcBorders>
              <w:top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4</w:t>
            </w:r>
          </w:p>
        </w:tc>
        <w:tc>
          <w:tcPr>
            <w:tcW w:w="1691" w:type="dxa"/>
            <w:tcBorders>
              <w:top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51</w:t>
            </w:r>
          </w:p>
        </w:tc>
        <w:tc>
          <w:tcPr>
            <w:tcW w:w="1559" w:type="dxa"/>
            <w:tcBorders>
              <w:top w:val="single" w:sz="12" w:space="0" w:color="auto"/>
            </w:tcBorders>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56</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2SHVb</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52</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53</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3SHVc</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22</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24</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OVHP4</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14</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15</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OVHP5</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17</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18</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OVHP6</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10</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11</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OVHP7</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5</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6</w:t>
            </w:r>
          </w:p>
        </w:tc>
      </w:tr>
      <w:tr w:rsidR="001B1193" w:rsidTr="007A3FAC">
        <w:tc>
          <w:tcPr>
            <w:tcW w:w="960" w:type="dxa"/>
            <w:tcBorders>
              <w:bottom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p>
        </w:tc>
        <w:tc>
          <w:tcPr>
            <w:tcW w:w="1465" w:type="dxa"/>
            <w:tcBorders>
              <w:bottom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p>
        </w:tc>
        <w:tc>
          <w:tcPr>
            <w:tcW w:w="1691" w:type="dxa"/>
            <w:tcBorders>
              <w:bottom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p>
        </w:tc>
        <w:tc>
          <w:tcPr>
            <w:tcW w:w="1711" w:type="dxa"/>
            <w:tcBorders>
              <w:bottom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p>
        </w:tc>
        <w:tc>
          <w:tcPr>
            <w:tcW w:w="1691" w:type="dxa"/>
            <w:tcBorders>
              <w:bottom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p>
        </w:tc>
        <w:tc>
          <w:tcPr>
            <w:tcW w:w="1559" w:type="dxa"/>
            <w:tcBorders>
              <w:bottom w:val="single" w:sz="12" w:space="0" w:color="auto"/>
            </w:tcBorders>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p>
        </w:tc>
      </w:tr>
      <w:tr w:rsidR="001B1193" w:rsidTr="007A3FAC">
        <w:tc>
          <w:tcPr>
            <w:tcW w:w="960" w:type="dxa"/>
            <w:tcBorders>
              <w:top w:val="single" w:sz="12" w:space="0" w:color="auto"/>
              <w:bottom w:val="single" w:sz="12" w:space="0" w:color="auto"/>
            </w:tcBorders>
            <w:shd w:val="clear" w:color="auto" w:fill="FFFFFF" w:themeFill="background1"/>
            <w:vAlign w:val="bottom"/>
          </w:tcPr>
          <w:p w:rsidR="00786025" w:rsidRPr="007A3FAC" w:rsidRDefault="00786025" w:rsidP="0073464B">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EP</w:t>
            </w:r>
          </w:p>
        </w:tc>
        <w:tc>
          <w:tcPr>
            <w:tcW w:w="1465" w:type="dxa"/>
            <w:tcBorders>
              <w:top w:val="single" w:sz="12" w:space="0" w:color="auto"/>
              <w:bottom w:val="single" w:sz="12" w:space="0" w:color="auto"/>
            </w:tcBorders>
            <w:shd w:val="clear" w:color="auto" w:fill="FFFFFF" w:themeFill="background1"/>
            <w:vAlign w:val="bottom"/>
          </w:tcPr>
          <w:p w:rsidR="00786025" w:rsidRPr="007A3FAC" w:rsidRDefault="00786025" w:rsidP="0073464B">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Předseda</w:t>
            </w:r>
          </w:p>
          <w:p w:rsidR="0073464B" w:rsidRPr="007A3FAC" w:rsidRDefault="0073464B" w:rsidP="0073464B">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panelů</w:t>
            </w:r>
          </w:p>
        </w:tc>
        <w:tc>
          <w:tcPr>
            <w:tcW w:w="1691" w:type="dxa"/>
            <w:tcBorders>
              <w:top w:val="single" w:sz="12" w:space="0" w:color="auto"/>
              <w:bottom w:val="single" w:sz="12" w:space="0" w:color="auto"/>
            </w:tcBorders>
            <w:shd w:val="clear" w:color="auto" w:fill="FFFFFF" w:themeFill="background1"/>
            <w:vAlign w:val="bottom"/>
          </w:tcPr>
          <w:p w:rsidR="00786025" w:rsidRPr="007A3FAC" w:rsidRDefault="0073464B" w:rsidP="0073464B">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Místopředseda</w:t>
            </w:r>
          </w:p>
          <w:p w:rsidR="0073464B" w:rsidRPr="007A3FAC" w:rsidRDefault="0073464B" w:rsidP="0073464B">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panelu</w:t>
            </w:r>
          </w:p>
        </w:tc>
        <w:tc>
          <w:tcPr>
            <w:tcW w:w="1711" w:type="dxa"/>
            <w:tcBorders>
              <w:top w:val="single" w:sz="12" w:space="0" w:color="auto"/>
              <w:bottom w:val="single" w:sz="12" w:space="0" w:color="auto"/>
            </w:tcBorders>
            <w:shd w:val="clear" w:color="auto" w:fill="FFFFFF" w:themeFill="background1"/>
            <w:vAlign w:val="bottom"/>
          </w:tcPr>
          <w:p w:rsidR="00786025" w:rsidRPr="007A3FAC" w:rsidRDefault="00786025" w:rsidP="0073464B">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 xml:space="preserve">Předseda </w:t>
            </w:r>
            <w:proofErr w:type="spellStart"/>
            <w:r w:rsidRPr="007A3FAC">
              <w:rPr>
                <w:rFonts w:ascii="Arial" w:eastAsiaTheme="minorHAnsi" w:hAnsi="Arial" w:cs="Arial"/>
                <w:b/>
                <w:color w:val="000000"/>
                <w:lang w:eastAsia="cs-CZ"/>
              </w:rPr>
              <w:t>subpanelu</w:t>
            </w:r>
            <w:proofErr w:type="spellEnd"/>
          </w:p>
        </w:tc>
        <w:tc>
          <w:tcPr>
            <w:tcW w:w="1691" w:type="dxa"/>
            <w:tcBorders>
              <w:top w:val="single" w:sz="12" w:space="0" w:color="auto"/>
              <w:bottom w:val="single" w:sz="12" w:space="0" w:color="auto"/>
            </w:tcBorders>
            <w:shd w:val="clear" w:color="auto" w:fill="FFFFFF" w:themeFill="background1"/>
            <w:vAlign w:val="bottom"/>
          </w:tcPr>
          <w:p w:rsidR="00786025" w:rsidRPr="007A3FAC" w:rsidRDefault="00786025" w:rsidP="0073464B">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Člen</w:t>
            </w:r>
          </w:p>
        </w:tc>
        <w:tc>
          <w:tcPr>
            <w:tcW w:w="1559" w:type="dxa"/>
            <w:tcBorders>
              <w:top w:val="single" w:sz="12" w:space="0" w:color="auto"/>
              <w:bottom w:val="single" w:sz="12" w:space="0" w:color="auto"/>
            </w:tcBorders>
            <w:shd w:val="clear" w:color="auto" w:fill="FFFFFF" w:themeFill="background1"/>
            <w:vAlign w:val="bottom"/>
          </w:tcPr>
          <w:p w:rsidR="00786025" w:rsidRPr="007A3FAC" w:rsidRDefault="00786025" w:rsidP="0073464B">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Celkem</w:t>
            </w:r>
          </w:p>
        </w:tc>
      </w:tr>
      <w:tr w:rsidR="001B1193" w:rsidTr="007A3FAC">
        <w:tc>
          <w:tcPr>
            <w:tcW w:w="960" w:type="dxa"/>
            <w:tcBorders>
              <w:top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1SHVa</w:t>
            </w:r>
          </w:p>
        </w:tc>
        <w:tc>
          <w:tcPr>
            <w:tcW w:w="1465" w:type="dxa"/>
            <w:tcBorders>
              <w:top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tcBorders>
              <w:top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tcBorders>
              <w:top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tcBorders>
              <w:top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13</w:t>
            </w:r>
          </w:p>
        </w:tc>
        <w:tc>
          <w:tcPr>
            <w:tcW w:w="1559" w:type="dxa"/>
            <w:tcBorders>
              <w:top w:val="single" w:sz="12" w:space="0" w:color="auto"/>
            </w:tcBorders>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14</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2SVHb</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17</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18</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3SHVc</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15</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16</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EP4</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23</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24</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EP5</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27</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28</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EP6</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18</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19</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EP7</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14</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15</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EP8</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20</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21</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EP9</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19</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20</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EP10</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17</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18</w:t>
            </w:r>
          </w:p>
        </w:tc>
      </w:tr>
      <w:tr w:rsidR="001B1193" w:rsidTr="007A3FAC">
        <w:tc>
          <w:tcPr>
            <w:tcW w:w="960" w:type="dxa"/>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color w:val="000000"/>
                <w:lang w:eastAsia="cs-CZ"/>
              </w:rPr>
              <w:t>EP11</w:t>
            </w:r>
          </w:p>
        </w:tc>
        <w:tc>
          <w:tcPr>
            <w:tcW w:w="1465"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1</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71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 xml:space="preserve"> </w:t>
            </w:r>
          </w:p>
        </w:tc>
        <w:tc>
          <w:tcPr>
            <w:tcW w:w="1691" w:type="dxa"/>
            <w:shd w:val="clear" w:color="auto" w:fill="FFFFFF" w:themeFill="background1"/>
            <w:vAlign w:val="bottom"/>
          </w:tcPr>
          <w:p w:rsidR="00786025" w:rsidRPr="007A3FAC" w:rsidRDefault="00786025">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22</w:t>
            </w:r>
          </w:p>
        </w:tc>
        <w:tc>
          <w:tcPr>
            <w:tcW w:w="1559" w:type="dxa"/>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r w:rsidRPr="007A3FAC">
              <w:rPr>
                <w:rFonts w:ascii="Arial" w:eastAsiaTheme="minorHAnsi" w:hAnsi="Arial" w:cs="Arial"/>
                <w:color w:val="000000"/>
                <w:lang w:eastAsia="cs-CZ"/>
              </w:rPr>
              <w:t>23</w:t>
            </w:r>
          </w:p>
        </w:tc>
      </w:tr>
      <w:tr w:rsidR="001B1193" w:rsidTr="007A3FAC">
        <w:tc>
          <w:tcPr>
            <w:tcW w:w="960" w:type="dxa"/>
            <w:tcBorders>
              <w:bottom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p>
        </w:tc>
        <w:tc>
          <w:tcPr>
            <w:tcW w:w="1465" w:type="dxa"/>
            <w:tcBorders>
              <w:bottom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p>
        </w:tc>
        <w:tc>
          <w:tcPr>
            <w:tcW w:w="1691" w:type="dxa"/>
            <w:tcBorders>
              <w:bottom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p>
        </w:tc>
        <w:tc>
          <w:tcPr>
            <w:tcW w:w="1711" w:type="dxa"/>
            <w:tcBorders>
              <w:bottom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p>
        </w:tc>
        <w:tc>
          <w:tcPr>
            <w:tcW w:w="1691" w:type="dxa"/>
            <w:tcBorders>
              <w:bottom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p>
        </w:tc>
        <w:tc>
          <w:tcPr>
            <w:tcW w:w="1559" w:type="dxa"/>
            <w:tcBorders>
              <w:bottom w:val="single" w:sz="12" w:space="0" w:color="auto"/>
            </w:tcBorders>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color w:val="000000"/>
                <w:lang w:eastAsia="cs-CZ"/>
              </w:rPr>
            </w:pPr>
          </w:p>
        </w:tc>
      </w:tr>
      <w:tr w:rsidR="001B1193" w:rsidTr="007A3FAC">
        <w:tc>
          <w:tcPr>
            <w:tcW w:w="960" w:type="dxa"/>
            <w:tcBorders>
              <w:top w:val="single" w:sz="12" w:space="0" w:color="auto"/>
              <w:bottom w:val="single" w:sz="12" w:space="0" w:color="auto"/>
            </w:tcBorders>
            <w:shd w:val="clear" w:color="auto" w:fill="FFFFFF" w:themeFill="background1"/>
            <w:vAlign w:val="bottom"/>
          </w:tcPr>
          <w:p w:rsidR="00786025" w:rsidRPr="007A3FAC" w:rsidRDefault="007A3FAC">
            <w:pPr>
              <w:keepNext/>
              <w:keepLines/>
              <w:autoSpaceDE w:val="0"/>
              <w:autoSpaceDN w:val="0"/>
              <w:adjustRightInd w:val="0"/>
              <w:spacing w:after="0" w:line="240" w:lineRule="auto"/>
              <w:rPr>
                <w:rFonts w:ascii="Arial" w:eastAsiaTheme="minorHAnsi" w:hAnsi="Arial" w:cs="Arial"/>
                <w:color w:val="000000"/>
                <w:lang w:eastAsia="cs-CZ"/>
              </w:rPr>
            </w:pPr>
            <w:r w:rsidRPr="007A3FAC">
              <w:rPr>
                <w:rFonts w:ascii="Arial" w:eastAsiaTheme="minorHAnsi" w:hAnsi="Arial" w:cs="Arial"/>
                <w:b/>
                <w:color w:val="000000"/>
                <w:lang w:eastAsia="cs-CZ"/>
              </w:rPr>
              <w:t>Celkem</w:t>
            </w:r>
          </w:p>
        </w:tc>
        <w:tc>
          <w:tcPr>
            <w:tcW w:w="1465" w:type="dxa"/>
            <w:tcBorders>
              <w:top w:val="single" w:sz="12" w:space="0" w:color="auto"/>
              <w:bottom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p>
        </w:tc>
        <w:tc>
          <w:tcPr>
            <w:tcW w:w="1691" w:type="dxa"/>
            <w:tcBorders>
              <w:top w:val="single" w:sz="12" w:space="0" w:color="auto"/>
              <w:bottom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p>
        </w:tc>
        <w:tc>
          <w:tcPr>
            <w:tcW w:w="1711" w:type="dxa"/>
            <w:tcBorders>
              <w:top w:val="single" w:sz="12" w:space="0" w:color="auto"/>
              <w:bottom w:val="single" w:sz="12" w:space="0" w:color="auto"/>
            </w:tcBorders>
            <w:shd w:val="clear" w:color="auto" w:fill="FFFFFF" w:themeFill="background1"/>
            <w:vAlign w:val="bottom"/>
          </w:tcPr>
          <w:p w:rsidR="00786025" w:rsidRPr="007A3FAC" w:rsidRDefault="00786025">
            <w:pPr>
              <w:keepNext/>
              <w:keepLines/>
              <w:autoSpaceDE w:val="0"/>
              <w:autoSpaceDN w:val="0"/>
              <w:adjustRightInd w:val="0"/>
              <w:spacing w:after="0" w:line="240" w:lineRule="auto"/>
              <w:rPr>
                <w:rFonts w:ascii="Arial" w:eastAsiaTheme="minorHAnsi" w:hAnsi="Arial" w:cs="Arial"/>
                <w:color w:val="000000"/>
                <w:lang w:eastAsia="cs-CZ"/>
              </w:rPr>
            </w:pPr>
          </w:p>
        </w:tc>
        <w:tc>
          <w:tcPr>
            <w:tcW w:w="1691" w:type="dxa"/>
            <w:tcBorders>
              <w:top w:val="single" w:sz="12" w:space="0" w:color="auto"/>
              <w:bottom w:val="single" w:sz="12" w:space="0" w:color="auto"/>
            </w:tcBorders>
            <w:shd w:val="clear" w:color="auto" w:fill="FFFFFF" w:themeFill="background1"/>
            <w:vAlign w:val="bottom"/>
          </w:tcPr>
          <w:p w:rsidR="00786025" w:rsidRPr="007A3FAC" w:rsidRDefault="00786025" w:rsidP="007A3FAC">
            <w:pPr>
              <w:keepNext/>
              <w:keepLines/>
              <w:autoSpaceDE w:val="0"/>
              <w:autoSpaceDN w:val="0"/>
              <w:adjustRightInd w:val="0"/>
              <w:spacing w:after="0" w:line="240" w:lineRule="auto"/>
              <w:jc w:val="center"/>
              <w:rPr>
                <w:rFonts w:ascii="Arial" w:eastAsiaTheme="minorHAnsi" w:hAnsi="Arial" w:cs="Arial"/>
                <w:b/>
                <w:color w:val="000000"/>
                <w:lang w:eastAsia="cs-CZ"/>
              </w:rPr>
            </w:pPr>
          </w:p>
        </w:tc>
        <w:tc>
          <w:tcPr>
            <w:tcW w:w="1559" w:type="dxa"/>
            <w:tcBorders>
              <w:top w:val="single" w:sz="12" w:space="0" w:color="auto"/>
              <w:bottom w:val="single" w:sz="12" w:space="0" w:color="auto"/>
            </w:tcBorders>
            <w:shd w:val="clear" w:color="auto" w:fill="FFFFFF" w:themeFill="background1"/>
            <w:vAlign w:val="bottom"/>
          </w:tcPr>
          <w:p w:rsidR="00786025" w:rsidRPr="007A3FAC" w:rsidRDefault="00786025" w:rsidP="001B1193">
            <w:pPr>
              <w:keepNext/>
              <w:keepLines/>
              <w:autoSpaceDE w:val="0"/>
              <w:autoSpaceDN w:val="0"/>
              <w:adjustRightInd w:val="0"/>
              <w:spacing w:after="0" w:line="240" w:lineRule="auto"/>
              <w:jc w:val="center"/>
              <w:rPr>
                <w:rFonts w:ascii="Arial" w:eastAsiaTheme="minorHAnsi" w:hAnsi="Arial" w:cs="Arial"/>
                <w:b/>
                <w:color w:val="000000"/>
                <w:lang w:eastAsia="cs-CZ"/>
              </w:rPr>
            </w:pPr>
            <w:r w:rsidRPr="007A3FAC">
              <w:rPr>
                <w:rFonts w:ascii="Arial" w:eastAsiaTheme="minorHAnsi" w:hAnsi="Arial" w:cs="Arial"/>
                <w:b/>
                <w:color w:val="000000"/>
                <w:lang w:eastAsia="cs-CZ"/>
              </w:rPr>
              <w:t>399</w:t>
            </w:r>
          </w:p>
        </w:tc>
      </w:tr>
    </w:tbl>
    <w:p w:rsidR="00786025" w:rsidRPr="0068711E" w:rsidRDefault="00786025" w:rsidP="0068711E">
      <w:pPr>
        <w:spacing w:after="120"/>
        <w:jc w:val="both"/>
        <w:rPr>
          <w:rFonts w:ascii="Arial" w:eastAsia="Times New Roman" w:hAnsi="Arial" w:cs="Arial"/>
          <w:sz w:val="24"/>
          <w:szCs w:val="24"/>
          <w:lang w:eastAsia="cs-CZ"/>
        </w:rPr>
      </w:pPr>
    </w:p>
    <w:sectPr w:rsidR="00786025" w:rsidRPr="0068711E" w:rsidSect="009F243D">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405" w:rsidRDefault="007D3405" w:rsidP="00A927B9">
      <w:pPr>
        <w:spacing w:after="0" w:line="240" w:lineRule="auto"/>
      </w:pPr>
      <w:r>
        <w:separator/>
      </w:r>
    </w:p>
  </w:endnote>
  <w:endnote w:type="continuationSeparator" w:id="0">
    <w:p w:rsidR="007D3405" w:rsidRDefault="007D3405" w:rsidP="00A92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2FE" w:rsidRDefault="00235233">
    <w:pPr>
      <w:pStyle w:val="Zpat"/>
    </w:pPr>
    <w:r>
      <w:fldChar w:fldCharType="begin"/>
    </w:r>
    <w:r>
      <w:instrText xml:space="preserve"> FILENAME   \* MERGEFORMAT </w:instrText>
    </w:r>
    <w:r>
      <w:fldChar w:fldCharType="separate"/>
    </w:r>
    <w:r w:rsidR="00E45EFB">
      <w:rPr>
        <w:noProof/>
      </w:rPr>
      <w:t>314 A3 Hodnoceni.docx</w:t>
    </w:r>
    <w:r>
      <w:rPr>
        <w:noProof/>
      </w:rPr>
      <w:fldChar w:fldCharType="end"/>
    </w:r>
    <w:r w:rsidR="002C32FE">
      <w:tab/>
    </w:r>
    <w:r w:rsidR="002C32FE">
      <w:tab/>
    </w:r>
    <w:r w:rsidR="002C32FE">
      <w:fldChar w:fldCharType="begin"/>
    </w:r>
    <w:r w:rsidR="002C32FE">
      <w:instrText xml:space="preserve"> PAGE   \* MERGEFORMAT </w:instrText>
    </w:r>
    <w:r w:rsidR="002C32FE">
      <w:fldChar w:fldCharType="separate"/>
    </w:r>
    <w:r>
      <w:rPr>
        <w:noProof/>
      </w:rPr>
      <w:t>1</w:t>
    </w:r>
    <w:r w:rsidR="002C32FE">
      <w:fldChar w:fldCharType="end"/>
    </w:r>
    <w:r w:rsidR="002C32FE">
      <w:t xml:space="preserve"> / </w:t>
    </w:r>
    <w:r>
      <w:fldChar w:fldCharType="begin"/>
    </w:r>
    <w:r>
      <w:instrText xml:space="preserve"> NUMPAGES   \* MERGEFORMAT </w:instrText>
    </w:r>
    <w:r>
      <w:fldChar w:fldCharType="separate"/>
    </w:r>
    <w:r>
      <w:rPr>
        <w:noProof/>
      </w:rPr>
      <w:t>2</w:t>
    </w:r>
    <w:r>
      <w:rPr>
        <w:noProof/>
      </w:rPr>
      <w:fldChar w:fldCharType="end"/>
    </w:r>
  </w:p>
  <w:p w:rsidR="002C32FE" w:rsidRDefault="002C32FE">
    <w:pPr>
      <w:pStyle w:val="Zpat"/>
    </w:pPr>
    <w:proofErr w:type="gramStart"/>
    <w:r>
      <w:t>JM</w:t>
    </w:r>
    <w:r w:rsidR="00125AFB">
      <w:t>,</w:t>
    </w:r>
    <w:r w:rsidR="00397C28">
      <w:t>LM</w:t>
    </w:r>
    <w:proofErr w:type="gramEnd"/>
    <w:r>
      <w:t xml:space="preserve">; </w:t>
    </w:r>
    <w:proofErr w:type="gramStart"/>
    <w:r w:rsidR="00397C28">
      <w:t>23.3.2016</w:t>
    </w:r>
    <w:proofErr w:type="gramEnd"/>
    <w:r w:rsidR="00397C28">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405" w:rsidRDefault="007D3405" w:rsidP="00A927B9">
      <w:pPr>
        <w:spacing w:after="0" w:line="240" w:lineRule="auto"/>
      </w:pPr>
      <w:r>
        <w:separator/>
      </w:r>
    </w:p>
  </w:footnote>
  <w:footnote w:type="continuationSeparator" w:id="0">
    <w:p w:rsidR="007D3405" w:rsidRDefault="007D3405" w:rsidP="00A927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559"/>
    </w:tblGrid>
    <w:tr w:rsidR="009F243D" w:rsidTr="00660DD2">
      <w:trPr>
        <w:trHeight w:val="686"/>
      </w:trPr>
      <w:tc>
        <w:tcPr>
          <w:tcW w:w="8188" w:type="dxa"/>
          <w:tcBorders>
            <w:top w:val="nil"/>
            <w:left w:val="nil"/>
            <w:bottom w:val="nil"/>
            <w:right w:val="single" w:sz="6" w:space="0" w:color="auto"/>
          </w:tcBorders>
          <w:shd w:val="clear" w:color="auto" w:fill="auto"/>
          <w:vAlign w:val="center"/>
        </w:tcPr>
        <w:p w:rsidR="009F243D" w:rsidRPr="004671AE" w:rsidRDefault="009F243D" w:rsidP="00660DD2">
          <w:pPr>
            <w:pStyle w:val="Zhlav"/>
            <w:rPr>
              <w:rFonts w:ascii="Arial" w:hAnsi="Arial" w:cs="Arial"/>
              <w:b/>
              <w:color w:val="0B38B5"/>
            </w:rPr>
          </w:pPr>
          <w:r>
            <w:rPr>
              <w:noProof/>
              <w:lang w:eastAsia="cs-CZ"/>
            </w:rPr>
            <w:drawing>
              <wp:anchor distT="0" distB="0" distL="114300" distR="114300" simplePos="0" relativeHeight="251659264" behindDoc="0" locked="0" layoutInCell="1" allowOverlap="1" wp14:anchorId="2700F95A" wp14:editId="6B6AB73A">
                <wp:simplePos x="0" y="0"/>
                <wp:positionH relativeFrom="column">
                  <wp:posOffset>635</wp:posOffset>
                </wp:positionH>
                <wp:positionV relativeFrom="paragraph">
                  <wp:posOffset>-68580</wp:posOffset>
                </wp:positionV>
                <wp:extent cx="915035" cy="277495"/>
                <wp:effectExtent l="0" t="0" r="0" b="825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035" cy="277495"/>
                        </a:xfrm>
                        <a:prstGeom prst="rect">
                          <a:avLst/>
                        </a:prstGeom>
                        <a:noFill/>
                        <a:ln>
                          <a:noFill/>
                        </a:ln>
                      </pic:spPr>
                    </pic:pic>
                  </a:graphicData>
                </a:graphic>
                <wp14:sizeRelH relativeFrom="page">
                  <wp14:pctWidth>0</wp14:pctWidth>
                </wp14:sizeRelH>
                <wp14:sizeRelV relativeFrom="margin">
                  <wp14:pctHeight>0</wp14:pctHeight>
                </wp14:sizeRelV>
              </wp:anchor>
            </w:drawing>
          </w:r>
          <w:proofErr w:type="gramStart"/>
          <w:r>
            <w:rPr>
              <w:rFonts w:ascii="Arial" w:hAnsi="Arial" w:cs="Arial"/>
              <w:b/>
            </w:rPr>
            <w:t>9</w:t>
          </w:r>
          <w:r w:rsidRPr="004671AE">
            <w:rPr>
              <w:rFonts w:ascii="Arial" w:hAnsi="Arial" w:cs="Arial"/>
              <w:b/>
            </w:rPr>
            <w:t xml:space="preserve">           </w:t>
          </w:r>
          <w:r>
            <w:rPr>
              <w:rFonts w:ascii="Arial" w:hAnsi="Arial" w:cs="Arial"/>
              <w:b/>
            </w:rPr>
            <w:t xml:space="preserve">          </w:t>
          </w:r>
          <w:r w:rsidRPr="004671AE">
            <w:rPr>
              <w:rFonts w:ascii="Arial" w:hAnsi="Arial" w:cs="Arial"/>
              <w:b/>
            </w:rPr>
            <w:t>Rada</w:t>
          </w:r>
          <w:proofErr w:type="gramEnd"/>
          <w:r w:rsidRPr="004671AE">
            <w:rPr>
              <w:rFonts w:ascii="Arial" w:hAnsi="Arial" w:cs="Arial"/>
              <w:b/>
            </w:rPr>
            <w:t xml:space="preserve"> pro výzkum, vývoj a inovace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9F243D" w:rsidRPr="004671AE" w:rsidRDefault="00C32F9E" w:rsidP="005E0CEA">
          <w:pPr>
            <w:pStyle w:val="Zhlav"/>
            <w:jc w:val="center"/>
            <w:rPr>
              <w:rFonts w:ascii="Arial" w:hAnsi="Arial" w:cs="Arial"/>
              <w:b/>
              <w:color w:val="0070C0"/>
              <w:sz w:val="28"/>
              <w:szCs w:val="28"/>
            </w:rPr>
          </w:pPr>
          <w:r>
            <w:rPr>
              <w:rFonts w:ascii="Arial" w:hAnsi="Arial" w:cs="Arial"/>
              <w:b/>
              <w:color w:val="0070C0"/>
              <w:sz w:val="28"/>
              <w:szCs w:val="28"/>
            </w:rPr>
            <w:t>314/</w:t>
          </w:r>
          <w:r w:rsidR="005E0CEA">
            <w:rPr>
              <w:rFonts w:ascii="Arial" w:hAnsi="Arial" w:cs="Arial"/>
              <w:b/>
              <w:color w:val="0070C0"/>
              <w:sz w:val="28"/>
              <w:szCs w:val="28"/>
            </w:rPr>
            <w:t>A3</w:t>
          </w:r>
        </w:p>
      </w:tc>
    </w:tr>
  </w:tbl>
  <w:p w:rsidR="009F243D" w:rsidRDefault="009F243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11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6F2269D"/>
    <w:multiLevelType w:val="hybridMultilevel"/>
    <w:tmpl w:val="FE00F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29A410A"/>
    <w:multiLevelType w:val="hybridMultilevel"/>
    <w:tmpl w:val="B6009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326A1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C7857BB"/>
    <w:multiLevelType w:val="hybridMultilevel"/>
    <w:tmpl w:val="EA266F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E5A250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0CE3029"/>
    <w:multiLevelType w:val="hybridMultilevel"/>
    <w:tmpl w:val="96941B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2F079C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212254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8762C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49021B2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AB41AF5"/>
    <w:multiLevelType w:val="hybridMultilevel"/>
    <w:tmpl w:val="BEDEBC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31E69F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B510C8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C2B1CC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4D473E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75F7630"/>
    <w:multiLevelType w:val="hybridMultilevel"/>
    <w:tmpl w:val="B5C4C4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EA454BD"/>
    <w:multiLevelType w:val="hybridMultilevel"/>
    <w:tmpl w:val="198ECF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11"/>
  </w:num>
  <w:num w:numId="3">
    <w:abstractNumId w:val="17"/>
  </w:num>
  <w:num w:numId="4">
    <w:abstractNumId w:val="10"/>
  </w:num>
  <w:num w:numId="5">
    <w:abstractNumId w:val="9"/>
  </w:num>
  <w:num w:numId="6">
    <w:abstractNumId w:val="13"/>
  </w:num>
  <w:num w:numId="7">
    <w:abstractNumId w:val="3"/>
  </w:num>
  <w:num w:numId="8">
    <w:abstractNumId w:val="16"/>
  </w:num>
  <w:num w:numId="9">
    <w:abstractNumId w:val="5"/>
  </w:num>
  <w:num w:numId="10">
    <w:abstractNumId w:val="8"/>
  </w:num>
  <w:num w:numId="11">
    <w:abstractNumId w:val="7"/>
  </w:num>
  <w:num w:numId="12">
    <w:abstractNumId w:val="2"/>
  </w:num>
  <w:num w:numId="13">
    <w:abstractNumId w:val="4"/>
  </w:num>
  <w:num w:numId="14">
    <w:abstractNumId w:val="0"/>
  </w:num>
  <w:num w:numId="15">
    <w:abstractNumId w:val="14"/>
  </w:num>
  <w:num w:numId="16">
    <w:abstractNumId w:val="6"/>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11F"/>
    <w:rsid w:val="0007515A"/>
    <w:rsid w:val="000C31F4"/>
    <w:rsid w:val="00125AFB"/>
    <w:rsid w:val="00125C16"/>
    <w:rsid w:val="00134EEB"/>
    <w:rsid w:val="001B1193"/>
    <w:rsid w:val="001B19C9"/>
    <w:rsid w:val="002277EF"/>
    <w:rsid w:val="00235233"/>
    <w:rsid w:val="002C32FE"/>
    <w:rsid w:val="00397C28"/>
    <w:rsid w:val="00431DD4"/>
    <w:rsid w:val="004378DA"/>
    <w:rsid w:val="00453537"/>
    <w:rsid w:val="004543CD"/>
    <w:rsid w:val="0046000E"/>
    <w:rsid w:val="004932FE"/>
    <w:rsid w:val="004D611F"/>
    <w:rsid w:val="0056681E"/>
    <w:rsid w:val="005705A5"/>
    <w:rsid w:val="005A10DE"/>
    <w:rsid w:val="005E0CEA"/>
    <w:rsid w:val="0068711E"/>
    <w:rsid w:val="006A66B6"/>
    <w:rsid w:val="00713857"/>
    <w:rsid w:val="0073464B"/>
    <w:rsid w:val="007405A1"/>
    <w:rsid w:val="00786025"/>
    <w:rsid w:val="007A3FAC"/>
    <w:rsid w:val="007D3405"/>
    <w:rsid w:val="007F613F"/>
    <w:rsid w:val="008F0841"/>
    <w:rsid w:val="00953D74"/>
    <w:rsid w:val="00975F24"/>
    <w:rsid w:val="009D459C"/>
    <w:rsid w:val="009E419A"/>
    <w:rsid w:val="009F243D"/>
    <w:rsid w:val="00A927B9"/>
    <w:rsid w:val="00AC378B"/>
    <w:rsid w:val="00B81C82"/>
    <w:rsid w:val="00C22D70"/>
    <w:rsid w:val="00C32F9E"/>
    <w:rsid w:val="00C83985"/>
    <w:rsid w:val="00C9135B"/>
    <w:rsid w:val="00CE0F0C"/>
    <w:rsid w:val="00D06160"/>
    <w:rsid w:val="00D34EDF"/>
    <w:rsid w:val="00D906EB"/>
    <w:rsid w:val="00E45EC9"/>
    <w:rsid w:val="00E45EFB"/>
    <w:rsid w:val="00EB2D49"/>
    <w:rsid w:val="00FB57DC"/>
    <w:rsid w:val="00FE69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611F"/>
    <w:rPr>
      <w:rFonts w:ascii="Calibri" w:eastAsia="Calibri" w:hAnsi="Calibri" w:cs="Times New Roman"/>
      <w:lang w:eastAsia="en-US"/>
    </w:rPr>
  </w:style>
  <w:style w:type="paragraph" w:styleId="Nadpis1">
    <w:name w:val="heading 1"/>
    <w:basedOn w:val="Normln"/>
    <w:next w:val="Normln"/>
    <w:link w:val="Nadpis1Char"/>
    <w:uiPriority w:val="9"/>
    <w:qFormat/>
    <w:rsid w:val="0068711E"/>
    <w:pPr>
      <w:keepNext/>
      <w:keepLines/>
      <w:numPr>
        <w:numId w:val="5"/>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68711E"/>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68711E"/>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8711E"/>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8711E"/>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8711E"/>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8711E"/>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8711E"/>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8711E"/>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D611F"/>
    <w:pPr>
      <w:spacing w:after="160" w:line="259" w:lineRule="auto"/>
      <w:ind w:left="720"/>
      <w:contextualSpacing/>
    </w:pPr>
  </w:style>
  <w:style w:type="paragraph" w:styleId="Zhlav">
    <w:name w:val="header"/>
    <w:basedOn w:val="Normln"/>
    <w:link w:val="ZhlavChar"/>
    <w:uiPriority w:val="99"/>
    <w:unhideWhenUsed/>
    <w:rsid w:val="00A927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27B9"/>
    <w:rPr>
      <w:rFonts w:ascii="Calibri" w:eastAsia="Calibri" w:hAnsi="Calibri" w:cs="Times New Roman"/>
      <w:lang w:eastAsia="en-US"/>
    </w:rPr>
  </w:style>
  <w:style w:type="paragraph" w:styleId="Zpat">
    <w:name w:val="footer"/>
    <w:basedOn w:val="Normln"/>
    <w:link w:val="ZpatChar"/>
    <w:uiPriority w:val="99"/>
    <w:unhideWhenUsed/>
    <w:rsid w:val="00A927B9"/>
    <w:pPr>
      <w:tabs>
        <w:tab w:val="center" w:pos="4536"/>
        <w:tab w:val="right" w:pos="9072"/>
      </w:tabs>
      <w:spacing w:after="0" w:line="240" w:lineRule="auto"/>
    </w:pPr>
  </w:style>
  <w:style w:type="character" w:customStyle="1" w:styleId="ZpatChar">
    <w:name w:val="Zápatí Char"/>
    <w:basedOn w:val="Standardnpsmoodstavce"/>
    <w:link w:val="Zpat"/>
    <w:uiPriority w:val="99"/>
    <w:rsid w:val="00A927B9"/>
    <w:rPr>
      <w:rFonts w:ascii="Calibri" w:eastAsia="Calibri" w:hAnsi="Calibri" w:cs="Times New Roman"/>
      <w:lang w:eastAsia="en-US"/>
    </w:rPr>
  </w:style>
  <w:style w:type="paragraph" w:styleId="Textbubliny">
    <w:name w:val="Balloon Text"/>
    <w:basedOn w:val="Normln"/>
    <w:link w:val="TextbublinyChar"/>
    <w:uiPriority w:val="99"/>
    <w:semiHidden/>
    <w:unhideWhenUsed/>
    <w:rsid w:val="0071385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13857"/>
    <w:rPr>
      <w:rFonts w:ascii="Tahoma" w:eastAsia="Calibri" w:hAnsi="Tahoma" w:cs="Tahoma"/>
      <w:sz w:val="16"/>
      <w:szCs w:val="16"/>
      <w:lang w:eastAsia="en-US"/>
    </w:rPr>
  </w:style>
  <w:style w:type="character" w:customStyle="1" w:styleId="Nadpis1Char">
    <w:name w:val="Nadpis 1 Char"/>
    <w:basedOn w:val="Standardnpsmoodstavce"/>
    <w:link w:val="Nadpis1"/>
    <w:uiPriority w:val="9"/>
    <w:rsid w:val="0068711E"/>
    <w:rPr>
      <w:rFonts w:asciiTheme="majorHAnsi" w:eastAsiaTheme="majorEastAsia" w:hAnsiTheme="majorHAnsi" w:cstheme="majorBidi"/>
      <w:b/>
      <w:bCs/>
      <w:color w:val="365F91" w:themeColor="accent1" w:themeShade="BF"/>
      <w:sz w:val="28"/>
      <w:szCs w:val="28"/>
      <w:lang w:eastAsia="en-US"/>
    </w:rPr>
  </w:style>
  <w:style w:type="character" w:customStyle="1" w:styleId="Nadpis2Char">
    <w:name w:val="Nadpis 2 Char"/>
    <w:basedOn w:val="Standardnpsmoodstavce"/>
    <w:link w:val="Nadpis2"/>
    <w:uiPriority w:val="9"/>
    <w:rsid w:val="0068711E"/>
    <w:rPr>
      <w:rFonts w:asciiTheme="majorHAnsi" w:eastAsiaTheme="majorEastAsia" w:hAnsiTheme="majorHAnsi" w:cstheme="majorBidi"/>
      <w:b/>
      <w:bCs/>
      <w:color w:val="4F81BD" w:themeColor="accent1"/>
      <w:sz w:val="26"/>
      <w:szCs w:val="26"/>
      <w:lang w:eastAsia="en-US"/>
    </w:rPr>
  </w:style>
  <w:style w:type="character" w:customStyle="1" w:styleId="Nadpis3Char">
    <w:name w:val="Nadpis 3 Char"/>
    <w:basedOn w:val="Standardnpsmoodstavce"/>
    <w:link w:val="Nadpis3"/>
    <w:uiPriority w:val="9"/>
    <w:semiHidden/>
    <w:rsid w:val="0068711E"/>
    <w:rPr>
      <w:rFonts w:asciiTheme="majorHAnsi" w:eastAsiaTheme="majorEastAsia" w:hAnsiTheme="majorHAnsi" w:cstheme="majorBidi"/>
      <w:b/>
      <w:bCs/>
      <w:color w:val="4F81BD" w:themeColor="accent1"/>
      <w:lang w:eastAsia="en-US"/>
    </w:rPr>
  </w:style>
  <w:style w:type="character" w:customStyle="1" w:styleId="Nadpis4Char">
    <w:name w:val="Nadpis 4 Char"/>
    <w:basedOn w:val="Standardnpsmoodstavce"/>
    <w:link w:val="Nadpis4"/>
    <w:uiPriority w:val="9"/>
    <w:semiHidden/>
    <w:rsid w:val="0068711E"/>
    <w:rPr>
      <w:rFonts w:asciiTheme="majorHAnsi" w:eastAsiaTheme="majorEastAsia" w:hAnsiTheme="majorHAnsi" w:cstheme="majorBidi"/>
      <w:b/>
      <w:bCs/>
      <w:i/>
      <w:iCs/>
      <w:color w:val="4F81BD" w:themeColor="accent1"/>
      <w:lang w:eastAsia="en-US"/>
    </w:rPr>
  </w:style>
  <w:style w:type="character" w:customStyle="1" w:styleId="Nadpis5Char">
    <w:name w:val="Nadpis 5 Char"/>
    <w:basedOn w:val="Standardnpsmoodstavce"/>
    <w:link w:val="Nadpis5"/>
    <w:uiPriority w:val="9"/>
    <w:semiHidden/>
    <w:rsid w:val="0068711E"/>
    <w:rPr>
      <w:rFonts w:asciiTheme="majorHAnsi" w:eastAsiaTheme="majorEastAsia" w:hAnsiTheme="majorHAnsi" w:cstheme="majorBidi"/>
      <w:color w:val="243F60" w:themeColor="accent1" w:themeShade="7F"/>
      <w:lang w:eastAsia="en-US"/>
    </w:rPr>
  </w:style>
  <w:style w:type="character" w:customStyle="1" w:styleId="Nadpis6Char">
    <w:name w:val="Nadpis 6 Char"/>
    <w:basedOn w:val="Standardnpsmoodstavce"/>
    <w:link w:val="Nadpis6"/>
    <w:uiPriority w:val="9"/>
    <w:semiHidden/>
    <w:rsid w:val="0068711E"/>
    <w:rPr>
      <w:rFonts w:asciiTheme="majorHAnsi" w:eastAsiaTheme="majorEastAsia" w:hAnsiTheme="majorHAnsi" w:cstheme="majorBidi"/>
      <w:i/>
      <w:iCs/>
      <w:color w:val="243F60" w:themeColor="accent1" w:themeShade="7F"/>
      <w:lang w:eastAsia="en-US"/>
    </w:rPr>
  </w:style>
  <w:style w:type="character" w:customStyle="1" w:styleId="Nadpis7Char">
    <w:name w:val="Nadpis 7 Char"/>
    <w:basedOn w:val="Standardnpsmoodstavce"/>
    <w:link w:val="Nadpis7"/>
    <w:uiPriority w:val="9"/>
    <w:semiHidden/>
    <w:rsid w:val="0068711E"/>
    <w:rPr>
      <w:rFonts w:asciiTheme="majorHAnsi" w:eastAsiaTheme="majorEastAsia" w:hAnsiTheme="majorHAnsi" w:cstheme="majorBidi"/>
      <w:i/>
      <w:iCs/>
      <w:color w:val="404040" w:themeColor="text1" w:themeTint="BF"/>
      <w:lang w:eastAsia="en-US"/>
    </w:rPr>
  </w:style>
  <w:style w:type="character" w:customStyle="1" w:styleId="Nadpis8Char">
    <w:name w:val="Nadpis 8 Char"/>
    <w:basedOn w:val="Standardnpsmoodstavce"/>
    <w:link w:val="Nadpis8"/>
    <w:uiPriority w:val="9"/>
    <w:semiHidden/>
    <w:rsid w:val="0068711E"/>
    <w:rPr>
      <w:rFonts w:asciiTheme="majorHAnsi" w:eastAsiaTheme="majorEastAsia" w:hAnsiTheme="majorHAnsi" w:cstheme="majorBidi"/>
      <w:color w:val="404040" w:themeColor="text1" w:themeTint="BF"/>
      <w:sz w:val="20"/>
      <w:szCs w:val="20"/>
      <w:lang w:eastAsia="en-US"/>
    </w:rPr>
  </w:style>
  <w:style w:type="character" w:customStyle="1" w:styleId="Nadpis9Char">
    <w:name w:val="Nadpis 9 Char"/>
    <w:basedOn w:val="Standardnpsmoodstavce"/>
    <w:link w:val="Nadpis9"/>
    <w:uiPriority w:val="9"/>
    <w:semiHidden/>
    <w:rsid w:val="0068711E"/>
    <w:rPr>
      <w:rFonts w:asciiTheme="majorHAnsi" w:eastAsiaTheme="majorEastAsia" w:hAnsiTheme="majorHAnsi" w:cstheme="majorBidi"/>
      <w:i/>
      <w:iCs/>
      <w:color w:val="404040" w:themeColor="text1" w:themeTint="BF"/>
      <w:sz w:val="20"/>
      <w:szCs w:val="20"/>
      <w:lang w:eastAsia="en-US"/>
    </w:rPr>
  </w:style>
  <w:style w:type="character" w:styleId="Zvraznn">
    <w:name w:val="Emphasis"/>
    <w:uiPriority w:val="20"/>
    <w:qFormat/>
    <w:rsid w:val="0068711E"/>
    <w:rPr>
      <w:i/>
      <w:iCs/>
    </w:rPr>
  </w:style>
  <w:style w:type="table" w:styleId="Mkatabulky">
    <w:name w:val="Table Grid"/>
    <w:basedOn w:val="Normlntabulka"/>
    <w:uiPriority w:val="59"/>
    <w:rsid w:val="00C91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611F"/>
    <w:rPr>
      <w:rFonts w:ascii="Calibri" w:eastAsia="Calibri" w:hAnsi="Calibri" w:cs="Times New Roman"/>
      <w:lang w:eastAsia="en-US"/>
    </w:rPr>
  </w:style>
  <w:style w:type="paragraph" w:styleId="Nadpis1">
    <w:name w:val="heading 1"/>
    <w:basedOn w:val="Normln"/>
    <w:next w:val="Normln"/>
    <w:link w:val="Nadpis1Char"/>
    <w:uiPriority w:val="9"/>
    <w:qFormat/>
    <w:rsid w:val="0068711E"/>
    <w:pPr>
      <w:keepNext/>
      <w:keepLines/>
      <w:numPr>
        <w:numId w:val="5"/>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68711E"/>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68711E"/>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8711E"/>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8711E"/>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8711E"/>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8711E"/>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8711E"/>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8711E"/>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D611F"/>
    <w:pPr>
      <w:spacing w:after="160" w:line="259" w:lineRule="auto"/>
      <w:ind w:left="720"/>
      <w:contextualSpacing/>
    </w:pPr>
  </w:style>
  <w:style w:type="paragraph" w:styleId="Zhlav">
    <w:name w:val="header"/>
    <w:basedOn w:val="Normln"/>
    <w:link w:val="ZhlavChar"/>
    <w:uiPriority w:val="99"/>
    <w:unhideWhenUsed/>
    <w:rsid w:val="00A927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27B9"/>
    <w:rPr>
      <w:rFonts w:ascii="Calibri" w:eastAsia="Calibri" w:hAnsi="Calibri" w:cs="Times New Roman"/>
      <w:lang w:eastAsia="en-US"/>
    </w:rPr>
  </w:style>
  <w:style w:type="paragraph" w:styleId="Zpat">
    <w:name w:val="footer"/>
    <w:basedOn w:val="Normln"/>
    <w:link w:val="ZpatChar"/>
    <w:uiPriority w:val="99"/>
    <w:unhideWhenUsed/>
    <w:rsid w:val="00A927B9"/>
    <w:pPr>
      <w:tabs>
        <w:tab w:val="center" w:pos="4536"/>
        <w:tab w:val="right" w:pos="9072"/>
      </w:tabs>
      <w:spacing w:after="0" w:line="240" w:lineRule="auto"/>
    </w:pPr>
  </w:style>
  <w:style w:type="character" w:customStyle="1" w:styleId="ZpatChar">
    <w:name w:val="Zápatí Char"/>
    <w:basedOn w:val="Standardnpsmoodstavce"/>
    <w:link w:val="Zpat"/>
    <w:uiPriority w:val="99"/>
    <w:rsid w:val="00A927B9"/>
    <w:rPr>
      <w:rFonts w:ascii="Calibri" w:eastAsia="Calibri" w:hAnsi="Calibri" w:cs="Times New Roman"/>
      <w:lang w:eastAsia="en-US"/>
    </w:rPr>
  </w:style>
  <w:style w:type="paragraph" w:styleId="Textbubliny">
    <w:name w:val="Balloon Text"/>
    <w:basedOn w:val="Normln"/>
    <w:link w:val="TextbublinyChar"/>
    <w:uiPriority w:val="99"/>
    <w:semiHidden/>
    <w:unhideWhenUsed/>
    <w:rsid w:val="0071385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13857"/>
    <w:rPr>
      <w:rFonts w:ascii="Tahoma" w:eastAsia="Calibri" w:hAnsi="Tahoma" w:cs="Tahoma"/>
      <w:sz w:val="16"/>
      <w:szCs w:val="16"/>
      <w:lang w:eastAsia="en-US"/>
    </w:rPr>
  </w:style>
  <w:style w:type="character" w:customStyle="1" w:styleId="Nadpis1Char">
    <w:name w:val="Nadpis 1 Char"/>
    <w:basedOn w:val="Standardnpsmoodstavce"/>
    <w:link w:val="Nadpis1"/>
    <w:uiPriority w:val="9"/>
    <w:rsid w:val="0068711E"/>
    <w:rPr>
      <w:rFonts w:asciiTheme="majorHAnsi" w:eastAsiaTheme="majorEastAsia" w:hAnsiTheme="majorHAnsi" w:cstheme="majorBidi"/>
      <w:b/>
      <w:bCs/>
      <w:color w:val="365F91" w:themeColor="accent1" w:themeShade="BF"/>
      <w:sz w:val="28"/>
      <w:szCs w:val="28"/>
      <w:lang w:eastAsia="en-US"/>
    </w:rPr>
  </w:style>
  <w:style w:type="character" w:customStyle="1" w:styleId="Nadpis2Char">
    <w:name w:val="Nadpis 2 Char"/>
    <w:basedOn w:val="Standardnpsmoodstavce"/>
    <w:link w:val="Nadpis2"/>
    <w:uiPriority w:val="9"/>
    <w:rsid w:val="0068711E"/>
    <w:rPr>
      <w:rFonts w:asciiTheme="majorHAnsi" w:eastAsiaTheme="majorEastAsia" w:hAnsiTheme="majorHAnsi" w:cstheme="majorBidi"/>
      <w:b/>
      <w:bCs/>
      <w:color w:val="4F81BD" w:themeColor="accent1"/>
      <w:sz w:val="26"/>
      <w:szCs w:val="26"/>
      <w:lang w:eastAsia="en-US"/>
    </w:rPr>
  </w:style>
  <w:style w:type="character" w:customStyle="1" w:styleId="Nadpis3Char">
    <w:name w:val="Nadpis 3 Char"/>
    <w:basedOn w:val="Standardnpsmoodstavce"/>
    <w:link w:val="Nadpis3"/>
    <w:uiPriority w:val="9"/>
    <w:semiHidden/>
    <w:rsid w:val="0068711E"/>
    <w:rPr>
      <w:rFonts w:asciiTheme="majorHAnsi" w:eastAsiaTheme="majorEastAsia" w:hAnsiTheme="majorHAnsi" w:cstheme="majorBidi"/>
      <w:b/>
      <w:bCs/>
      <w:color w:val="4F81BD" w:themeColor="accent1"/>
      <w:lang w:eastAsia="en-US"/>
    </w:rPr>
  </w:style>
  <w:style w:type="character" w:customStyle="1" w:styleId="Nadpis4Char">
    <w:name w:val="Nadpis 4 Char"/>
    <w:basedOn w:val="Standardnpsmoodstavce"/>
    <w:link w:val="Nadpis4"/>
    <w:uiPriority w:val="9"/>
    <w:semiHidden/>
    <w:rsid w:val="0068711E"/>
    <w:rPr>
      <w:rFonts w:asciiTheme="majorHAnsi" w:eastAsiaTheme="majorEastAsia" w:hAnsiTheme="majorHAnsi" w:cstheme="majorBidi"/>
      <w:b/>
      <w:bCs/>
      <w:i/>
      <w:iCs/>
      <w:color w:val="4F81BD" w:themeColor="accent1"/>
      <w:lang w:eastAsia="en-US"/>
    </w:rPr>
  </w:style>
  <w:style w:type="character" w:customStyle="1" w:styleId="Nadpis5Char">
    <w:name w:val="Nadpis 5 Char"/>
    <w:basedOn w:val="Standardnpsmoodstavce"/>
    <w:link w:val="Nadpis5"/>
    <w:uiPriority w:val="9"/>
    <w:semiHidden/>
    <w:rsid w:val="0068711E"/>
    <w:rPr>
      <w:rFonts w:asciiTheme="majorHAnsi" w:eastAsiaTheme="majorEastAsia" w:hAnsiTheme="majorHAnsi" w:cstheme="majorBidi"/>
      <w:color w:val="243F60" w:themeColor="accent1" w:themeShade="7F"/>
      <w:lang w:eastAsia="en-US"/>
    </w:rPr>
  </w:style>
  <w:style w:type="character" w:customStyle="1" w:styleId="Nadpis6Char">
    <w:name w:val="Nadpis 6 Char"/>
    <w:basedOn w:val="Standardnpsmoodstavce"/>
    <w:link w:val="Nadpis6"/>
    <w:uiPriority w:val="9"/>
    <w:semiHidden/>
    <w:rsid w:val="0068711E"/>
    <w:rPr>
      <w:rFonts w:asciiTheme="majorHAnsi" w:eastAsiaTheme="majorEastAsia" w:hAnsiTheme="majorHAnsi" w:cstheme="majorBidi"/>
      <w:i/>
      <w:iCs/>
      <w:color w:val="243F60" w:themeColor="accent1" w:themeShade="7F"/>
      <w:lang w:eastAsia="en-US"/>
    </w:rPr>
  </w:style>
  <w:style w:type="character" w:customStyle="1" w:styleId="Nadpis7Char">
    <w:name w:val="Nadpis 7 Char"/>
    <w:basedOn w:val="Standardnpsmoodstavce"/>
    <w:link w:val="Nadpis7"/>
    <w:uiPriority w:val="9"/>
    <w:semiHidden/>
    <w:rsid w:val="0068711E"/>
    <w:rPr>
      <w:rFonts w:asciiTheme="majorHAnsi" w:eastAsiaTheme="majorEastAsia" w:hAnsiTheme="majorHAnsi" w:cstheme="majorBidi"/>
      <w:i/>
      <w:iCs/>
      <w:color w:val="404040" w:themeColor="text1" w:themeTint="BF"/>
      <w:lang w:eastAsia="en-US"/>
    </w:rPr>
  </w:style>
  <w:style w:type="character" w:customStyle="1" w:styleId="Nadpis8Char">
    <w:name w:val="Nadpis 8 Char"/>
    <w:basedOn w:val="Standardnpsmoodstavce"/>
    <w:link w:val="Nadpis8"/>
    <w:uiPriority w:val="9"/>
    <w:semiHidden/>
    <w:rsid w:val="0068711E"/>
    <w:rPr>
      <w:rFonts w:asciiTheme="majorHAnsi" w:eastAsiaTheme="majorEastAsia" w:hAnsiTheme="majorHAnsi" w:cstheme="majorBidi"/>
      <w:color w:val="404040" w:themeColor="text1" w:themeTint="BF"/>
      <w:sz w:val="20"/>
      <w:szCs w:val="20"/>
      <w:lang w:eastAsia="en-US"/>
    </w:rPr>
  </w:style>
  <w:style w:type="character" w:customStyle="1" w:styleId="Nadpis9Char">
    <w:name w:val="Nadpis 9 Char"/>
    <w:basedOn w:val="Standardnpsmoodstavce"/>
    <w:link w:val="Nadpis9"/>
    <w:uiPriority w:val="9"/>
    <w:semiHidden/>
    <w:rsid w:val="0068711E"/>
    <w:rPr>
      <w:rFonts w:asciiTheme="majorHAnsi" w:eastAsiaTheme="majorEastAsia" w:hAnsiTheme="majorHAnsi" w:cstheme="majorBidi"/>
      <w:i/>
      <w:iCs/>
      <w:color w:val="404040" w:themeColor="text1" w:themeTint="BF"/>
      <w:sz w:val="20"/>
      <w:szCs w:val="20"/>
      <w:lang w:eastAsia="en-US"/>
    </w:rPr>
  </w:style>
  <w:style w:type="character" w:styleId="Zvraznn">
    <w:name w:val="Emphasis"/>
    <w:uiPriority w:val="20"/>
    <w:qFormat/>
    <w:rsid w:val="0068711E"/>
    <w:rPr>
      <w:i/>
      <w:iCs/>
    </w:rPr>
  </w:style>
  <w:style w:type="table" w:styleId="Mkatabulky">
    <w:name w:val="Table Grid"/>
    <w:basedOn w:val="Normlntabulka"/>
    <w:uiPriority w:val="59"/>
    <w:rsid w:val="00C91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22032-486F-45A4-8482-C312F407B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554</Words>
  <Characters>3270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Jan</dc:creator>
  <cp:lastModifiedBy>Moravcová Lenka</cp:lastModifiedBy>
  <cp:revision>9</cp:revision>
  <cp:lastPrinted>2016-03-24T06:47:00Z</cp:lastPrinted>
  <dcterms:created xsi:type="dcterms:W3CDTF">2016-03-23T09:56:00Z</dcterms:created>
  <dcterms:modified xsi:type="dcterms:W3CDTF">2016-03-24T12:29:00Z</dcterms:modified>
</cp:coreProperties>
</file>